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B4D63C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83C1F">
        <w:rPr>
          <w:rFonts w:ascii="Arial" w:hAnsi="Arial" w:cs="Arial"/>
          <w:b/>
          <w:sz w:val="24"/>
          <w:szCs w:val="24"/>
        </w:rPr>
        <w:t>7</w:t>
      </w:r>
      <w:r w:rsidR="00E50D6C">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55319C">
        <w:rPr>
          <w:rFonts w:ascii="Arial" w:hAnsi="Arial" w:cs="Arial"/>
          <w:b/>
          <w:sz w:val="24"/>
          <w:szCs w:val="24"/>
          <w:lang w:eastAsia="ja-JP"/>
        </w:rPr>
        <w:t>2159</w:t>
      </w:r>
    </w:p>
    <w:p w14:paraId="74D3B354" w14:textId="246DCF0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83C1F">
        <w:rPr>
          <w:rFonts w:ascii="Arial" w:hAnsi="Arial" w:cs="Arial"/>
          <w:b/>
          <w:sz w:val="24"/>
        </w:rPr>
        <w:t>September</w:t>
      </w:r>
      <w:r w:rsidR="00714D27">
        <w:rPr>
          <w:rFonts w:ascii="Arial" w:hAnsi="Arial" w:cs="Arial"/>
          <w:b/>
          <w:sz w:val="24"/>
        </w:rPr>
        <w:t xml:space="preserve"> </w:t>
      </w:r>
      <w:r w:rsidR="00983C1F">
        <w:rPr>
          <w:rFonts w:ascii="Arial" w:hAnsi="Arial" w:cs="Arial"/>
          <w:b/>
          <w:sz w:val="24"/>
        </w:rPr>
        <w:t>12</w:t>
      </w:r>
      <w:r w:rsidR="0020077E">
        <w:rPr>
          <w:rFonts w:ascii="Arial" w:hAnsi="Arial" w:cs="Arial"/>
          <w:b/>
          <w:sz w:val="24"/>
        </w:rPr>
        <w:t xml:space="preserve"> </w:t>
      </w:r>
      <w:r w:rsidR="00AD51D1">
        <w:rPr>
          <w:rFonts w:ascii="Arial" w:hAnsi="Arial" w:cs="Arial"/>
          <w:b/>
          <w:sz w:val="24"/>
        </w:rPr>
        <w:t>-</w:t>
      </w:r>
      <w:r w:rsidR="0020077E">
        <w:rPr>
          <w:rFonts w:ascii="Arial" w:hAnsi="Arial" w:cs="Arial"/>
          <w:b/>
          <w:sz w:val="24"/>
        </w:rPr>
        <w:t xml:space="preserve"> </w:t>
      </w:r>
      <w:r w:rsidR="00983C1F">
        <w:rPr>
          <w:rFonts w:ascii="Arial" w:hAnsi="Arial" w:cs="Arial"/>
          <w:b/>
          <w:sz w:val="24"/>
        </w:rPr>
        <w:t>16</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0F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5A4913" w:rsidR="0036248C" w:rsidRPr="008836AC" w:rsidRDefault="00C80B88" w:rsidP="008836AC">
            <w:pPr>
              <w:tabs>
                <w:tab w:val="left" w:pos="567"/>
              </w:tabs>
              <w:spacing w:after="0"/>
              <w:rPr>
                <w:rFonts w:ascii="Arial" w:hAnsi="Arial" w:cs="Arial"/>
              </w:rPr>
            </w:pPr>
            <w:r>
              <w:rPr>
                <w:rFonts w:ascii="Arial" w:hAnsi="Arial" w:cs="Arial"/>
              </w:rPr>
              <w:t>NR_mobile_IAB</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401110C"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6C191D">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F620ED"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RP-22</w:t>
            </w:r>
            <w:r w:rsidR="00535A04">
              <w:rPr>
                <w:rFonts w:ascii="Arial" w:hAnsi="Arial" w:cs="Arial"/>
                <w:lang w:eastAsia="ja-JP"/>
              </w:rPr>
              <w:t>1815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gridSpan w:val="2"/>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AB7D2F0" w:rsidR="00871653" w:rsidRPr="008836AC" w:rsidRDefault="00941BB2" w:rsidP="008836AC">
            <w:pPr>
              <w:tabs>
                <w:tab w:val="left" w:pos="567"/>
              </w:tabs>
              <w:spacing w:after="0"/>
              <w:rPr>
                <w:rFonts w:ascii="Arial" w:hAnsi="Arial" w:cs="Arial"/>
                <w:lang w:eastAsia="ja-JP"/>
              </w:rPr>
            </w:pPr>
            <w:r>
              <w:rPr>
                <w:rFonts w:ascii="Arial" w:hAnsi="Arial" w:cs="Arial"/>
                <w:color w:val="00B050"/>
                <w:lang w:eastAsia="ja-JP"/>
              </w:rPr>
              <w:t>5</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7A79B5" w:rsidR="00D22398" w:rsidRPr="008836AC" w:rsidRDefault="004415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0B190C3" w14:textId="1C42D164" w:rsidR="00535A04" w:rsidRPr="00535A04" w:rsidRDefault="00701410" w:rsidP="00535A04">
      <w:pPr>
        <w:pStyle w:val="Heading4"/>
        <w:rPr>
          <w:lang w:eastAsia="ja-JP"/>
        </w:rPr>
      </w:pPr>
      <w:r>
        <w:rPr>
          <w:lang w:eastAsia="ja-JP"/>
        </w:rPr>
        <w:t>2.1.1</w:t>
      </w:r>
      <w:r>
        <w:rPr>
          <w:lang w:eastAsia="ja-JP"/>
        </w:rPr>
        <w:tab/>
        <w:t>Agreements</w:t>
      </w:r>
    </w:p>
    <w:p w14:paraId="5840400F" w14:textId="7F909E92" w:rsidR="003A4B47" w:rsidRDefault="00701410" w:rsidP="00701410">
      <w:pPr>
        <w:pStyle w:val="Heading4"/>
        <w:rPr>
          <w:lang w:eastAsia="ja-JP"/>
        </w:rPr>
      </w:pPr>
      <w:r>
        <w:rPr>
          <w:lang w:eastAsia="ja-JP"/>
        </w:rPr>
        <w:t>2.1.2</w:t>
      </w:r>
      <w:r>
        <w:rPr>
          <w:lang w:eastAsia="ja-JP"/>
        </w:rPr>
        <w:tab/>
        <w:t>Remaining Open issues</w:t>
      </w:r>
    </w:p>
    <w:p w14:paraId="6A204E22" w14:textId="77777777" w:rsidR="004D2B97" w:rsidRPr="004D2B97" w:rsidRDefault="004D2B97" w:rsidP="004D2B97">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66F9B4A6" w14:textId="534200A0" w:rsidR="004D2B97" w:rsidRPr="004D2B97" w:rsidRDefault="004D2B97" w:rsidP="004D2B97">
      <w:pPr>
        <w:rPr>
          <w:rFonts w:ascii="Arial" w:hAnsi="Arial" w:cs="Arial"/>
          <w:b/>
          <w:bCs/>
        </w:rPr>
      </w:pPr>
      <w:r w:rsidRPr="004D2B97">
        <w:rPr>
          <w:rFonts w:ascii="Arial" w:hAnsi="Arial" w:cs="Arial"/>
          <w:b/>
          <w:bCs/>
          <w:highlight w:val="green"/>
        </w:rPr>
        <w:t>Agreements</w:t>
      </w:r>
      <w:r w:rsidRPr="004D2B97">
        <w:rPr>
          <w:rFonts w:ascii="Arial" w:hAnsi="Arial" w:cs="Arial"/>
          <w:b/>
          <w:bCs/>
        </w:rPr>
        <w:t xml:space="preserve"> on </w:t>
      </w:r>
      <w:r w:rsidR="00EF0D97">
        <w:rPr>
          <w:rFonts w:ascii="Arial" w:hAnsi="Arial" w:cs="Arial"/>
          <w:b/>
          <w:bCs/>
        </w:rPr>
        <w:t>basic aspects</w:t>
      </w:r>
      <w:r w:rsidRPr="004D2B97">
        <w:rPr>
          <w:rFonts w:ascii="Arial" w:hAnsi="Arial" w:cs="Arial"/>
          <w:b/>
          <w:bCs/>
        </w:rPr>
        <w:t>:</w:t>
      </w:r>
    </w:p>
    <w:p w14:paraId="13CDA6AA" w14:textId="77777777" w:rsidR="004D2B97" w:rsidRPr="004D2B97" w:rsidRDefault="004D2B97" w:rsidP="004D2B97">
      <w:pPr>
        <w:pStyle w:val="Agreement"/>
        <w:numPr>
          <w:ilvl w:val="0"/>
          <w:numId w:val="20"/>
        </w:numPr>
        <w:rPr>
          <w:rFonts w:cs="Arial"/>
          <w:b w:val="0"/>
          <w:bCs/>
          <w:szCs w:val="20"/>
        </w:rPr>
      </w:pPr>
      <w:r w:rsidRPr="004D2B97">
        <w:rPr>
          <w:rFonts w:cs="Arial"/>
          <w:b w:val="0"/>
          <w:bCs/>
          <w:szCs w:val="20"/>
        </w:rPr>
        <w:t>The method of not broadcasting “iab-Support” indication, is sufficient to prevent other IAB-node from accessing mobile IAB (without further spec impact).</w:t>
      </w:r>
    </w:p>
    <w:p w14:paraId="537F88DF" w14:textId="77777777" w:rsidR="004D2B97" w:rsidRPr="004D2B97" w:rsidRDefault="004D2B97" w:rsidP="004D2B97">
      <w:pPr>
        <w:pStyle w:val="Agreement"/>
        <w:numPr>
          <w:ilvl w:val="0"/>
          <w:numId w:val="20"/>
        </w:numPr>
        <w:rPr>
          <w:rFonts w:cs="Arial"/>
          <w:b w:val="0"/>
          <w:bCs/>
          <w:szCs w:val="20"/>
        </w:rPr>
      </w:pPr>
      <w:r w:rsidRPr="004D2B97">
        <w:rPr>
          <w:rFonts w:cs="Arial"/>
          <w:b w:val="0"/>
          <w:bCs/>
          <w:szCs w:val="20"/>
        </w:rPr>
        <w:t xml:space="preserve">R2 assumes RACH-less procedure may be considered for on-board RRC_CONNECTED UEs, which are to be handed over together with the mobile IAB-node (would depend also on the assumptions for UL synch). </w:t>
      </w:r>
    </w:p>
    <w:p w14:paraId="5EB2A6EE" w14:textId="77777777" w:rsidR="004D2B97" w:rsidRPr="004D2B97" w:rsidRDefault="004D2B97" w:rsidP="004D2B97">
      <w:pPr>
        <w:rPr>
          <w:rFonts w:ascii="Arial" w:hAnsi="Arial" w:cs="Arial"/>
          <w:b/>
          <w:bCs/>
          <w:color w:val="FF0000"/>
        </w:rPr>
      </w:pPr>
    </w:p>
    <w:p w14:paraId="06BAE316" w14:textId="7C84FDC4" w:rsidR="004D2B97" w:rsidRPr="00EF0D97" w:rsidRDefault="00EF0D97" w:rsidP="004D2B97">
      <w:pPr>
        <w:pStyle w:val="maintext"/>
        <w:rPr>
          <w:rFonts w:ascii="Arial" w:hAnsi="Arial" w:cs="Arial"/>
          <w:b/>
          <w:bCs/>
        </w:rPr>
      </w:pPr>
      <w:r w:rsidRPr="00EF0D97">
        <w:rPr>
          <w:rFonts w:ascii="Arial" w:hAnsi="Arial" w:cs="Arial"/>
          <w:b/>
          <w:bCs/>
          <w:highlight w:val="green"/>
        </w:rPr>
        <w:t>Agreements</w:t>
      </w:r>
      <w:r w:rsidRPr="00EF0D97">
        <w:rPr>
          <w:rFonts w:ascii="Arial" w:hAnsi="Arial" w:cs="Arial"/>
          <w:b/>
          <w:bCs/>
        </w:rPr>
        <w:t xml:space="preserve"> on g</w:t>
      </w:r>
      <w:r w:rsidR="004D2B97" w:rsidRPr="00EF0D97">
        <w:rPr>
          <w:rFonts w:ascii="Arial" w:hAnsi="Arial" w:cs="Arial"/>
          <w:b/>
          <w:bCs/>
        </w:rPr>
        <w:t xml:space="preserve">roup </w:t>
      </w:r>
      <w:r w:rsidRPr="00EF0D97">
        <w:rPr>
          <w:rFonts w:ascii="Arial" w:hAnsi="Arial" w:cs="Arial"/>
          <w:b/>
          <w:bCs/>
        </w:rPr>
        <w:t>m</w:t>
      </w:r>
      <w:r w:rsidR="004D2B97" w:rsidRPr="00EF0D97">
        <w:rPr>
          <w:rFonts w:ascii="Arial" w:hAnsi="Arial" w:cs="Arial"/>
          <w:b/>
          <w:bCs/>
        </w:rPr>
        <w:t>obility</w:t>
      </w:r>
    </w:p>
    <w:p w14:paraId="4AA688AD" w14:textId="77777777" w:rsidR="004D2B97" w:rsidRPr="004D2B97" w:rsidRDefault="004D2B97" w:rsidP="004D2B97">
      <w:pPr>
        <w:pStyle w:val="Agreement"/>
        <w:numPr>
          <w:ilvl w:val="0"/>
          <w:numId w:val="20"/>
        </w:numPr>
        <w:rPr>
          <w:rFonts w:cs="Arial"/>
          <w:b w:val="0"/>
          <w:bCs/>
          <w:szCs w:val="20"/>
        </w:rPr>
      </w:pPr>
      <w:r w:rsidRPr="004D2B97">
        <w:rPr>
          <w:rFonts w:cs="Arial"/>
          <w:b w:val="0"/>
          <w:bCs/>
          <w:szCs w:val="20"/>
        </w:rPr>
        <w:t xml:space="preserve">R2 assumes that CHO or delayed RRC config could be the baseline for group mobility (FFS if could be applicable for mobility of IAB MT), </w:t>
      </w:r>
      <w:proofErr w:type="gramStart"/>
      <w:r w:rsidRPr="004D2B97">
        <w:rPr>
          <w:rFonts w:cs="Arial"/>
          <w:b w:val="0"/>
          <w:bCs/>
          <w:szCs w:val="20"/>
        </w:rPr>
        <w:t>i.e.</w:t>
      </w:r>
      <w:proofErr w:type="gramEnd"/>
      <w:r w:rsidRPr="004D2B97">
        <w:rPr>
          <w:rFonts w:cs="Arial"/>
          <w:b w:val="0"/>
          <w:bCs/>
          <w:szCs w:val="20"/>
        </w:rPr>
        <w:t xml:space="preserve"> with a preparation in advance (not immediately) of the execution. </w:t>
      </w:r>
    </w:p>
    <w:p w14:paraId="71D62BD6" w14:textId="77777777" w:rsidR="004D2B97" w:rsidRPr="004D2B97" w:rsidRDefault="004D2B97" w:rsidP="004D2B97">
      <w:pPr>
        <w:rPr>
          <w:rFonts w:ascii="Arial" w:hAnsi="Arial" w:cs="Arial"/>
          <w:lang w:eastAsia="ja-JP"/>
        </w:rPr>
      </w:pPr>
    </w:p>
    <w:p w14:paraId="405CAC86" w14:textId="0FCC0657" w:rsidR="004D2B97" w:rsidRPr="004D2B97" w:rsidRDefault="004D2B97" w:rsidP="004D2B97">
      <w:pPr>
        <w:pStyle w:val="maintext"/>
        <w:rPr>
          <w:rFonts w:ascii="Arial" w:hAnsi="Arial" w:cs="Arial"/>
          <w:b/>
          <w:bCs/>
        </w:rPr>
      </w:pPr>
      <w:r w:rsidRPr="004D2B97">
        <w:rPr>
          <w:rFonts w:ascii="Arial" w:hAnsi="Arial" w:cs="Arial"/>
          <w:b/>
          <w:bCs/>
          <w:highlight w:val="green"/>
        </w:rPr>
        <w:t>Agreements</w:t>
      </w:r>
      <w:r w:rsidRPr="004D2B97">
        <w:rPr>
          <w:rFonts w:ascii="Arial" w:hAnsi="Arial" w:cs="Arial"/>
          <w:b/>
          <w:bCs/>
        </w:rPr>
        <w:t xml:space="preserve"> </w:t>
      </w:r>
      <w:r w:rsidR="00EF0D97">
        <w:rPr>
          <w:rFonts w:ascii="Arial" w:hAnsi="Arial" w:cs="Arial"/>
          <w:b/>
          <w:bCs/>
        </w:rPr>
        <w:t>on multihop</w:t>
      </w:r>
      <w:r w:rsidRPr="004D2B97">
        <w:rPr>
          <w:rFonts w:ascii="Arial" w:hAnsi="Arial" w:cs="Arial"/>
          <w:b/>
          <w:bCs/>
        </w:rPr>
        <w:t xml:space="preserve"> </w:t>
      </w:r>
    </w:p>
    <w:p w14:paraId="2191BD56" w14:textId="77777777" w:rsidR="004D2B97" w:rsidRPr="004D2B97" w:rsidRDefault="004D2B97" w:rsidP="004D2B97">
      <w:pPr>
        <w:pStyle w:val="Agreement"/>
        <w:numPr>
          <w:ilvl w:val="0"/>
          <w:numId w:val="20"/>
        </w:numPr>
        <w:rPr>
          <w:rFonts w:cs="Arial"/>
          <w:b w:val="0"/>
          <w:bCs/>
          <w:szCs w:val="20"/>
        </w:rPr>
      </w:pPr>
      <w:r w:rsidRPr="004D2B97">
        <w:rPr>
          <w:rFonts w:cs="Arial"/>
          <w:b w:val="0"/>
          <w:bCs/>
          <w:szCs w:val="20"/>
        </w:rPr>
        <w:t xml:space="preserve">R2 assumes that Mobile IAB connecting to a stationary (intermediate) IAB node is/can be supported. R2 assumes this can be supported with no (or limited) impact. </w:t>
      </w:r>
    </w:p>
    <w:p w14:paraId="6F19445C" w14:textId="77777777" w:rsidR="004D2B97" w:rsidRPr="004D2B97" w:rsidRDefault="004D2B97" w:rsidP="004D2B97">
      <w:pPr>
        <w:rPr>
          <w:rFonts w:ascii="Arial" w:hAnsi="Arial" w:cs="Arial"/>
          <w:b/>
          <w:bCs/>
          <w:color w:val="FF0000"/>
        </w:rPr>
      </w:pPr>
    </w:p>
    <w:p w14:paraId="37607F80" w14:textId="77777777" w:rsidR="004D2B97" w:rsidRPr="004D2B97" w:rsidRDefault="004D2B97" w:rsidP="004D2B97">
      <w:pPr>
        <w:pStyle w:val="maintext"/>
        <w:rPr>
          <w:rFonts w:ascii="Arial" w:hAnsi="Arial" w:cs="Arial"/>
          <w:b/>
          <w:bCs/>
        </w:rPr>
      </w:pPr>
      <w:r w:rsidRPr="004D2B97">
        <w:rPr>
          <w:rFonts w:ascii="Arial" w:hAnsi="Arial" w:cs="Arial"/>
          <w:b/>
          <w:bCs/>
          <w:highlight w:val="green"/>
        </w:rPr>
        <w:t>Endorsements</w:t>
      </w:r>
      <w:r w:rsidRPr="004D2B97">
        <w:rPr>
          <w:rFonts w:ascii="Arial" w:hAnsi="Arial" w:cs="Arial"/>
          <w:b/>
          <w:bCs/>
        </w:rPr>
        <w:t xml:space="preserve"> for discussion in next meeting:</w:t>
      </w:r>
    </w:p>
    <w:p w14:paraId="0C081191" w14:textId="77777777" w:rsidR="004D2B97" w:rsidRPr="004D2B97" w:rsidRDefault="004D2B97" w:rsidP="004D2B97">
      <w:pPr>
        <w:pStyle w:val="Agreement"/>
        <w:numPr>
          <w:ilvl w:val="0"/>
          <w:numId w:val="20"/>
        </w:numPr>
        <w:rPr>
          <w:rFonts w:cs="Arial"/>
          <w:b w:val="0"/>
          <w:bCs/>
          <w:szCs w:val="20"/>
        </w:rPr>
      </w:pPr>
      <w:r w:rsidRPr="004D2B97">
        <w:rPr>
          <w:rFonts w:cs="Arial"/>
          <w:b w:val="0"/>
          <w:bCs/>
          <w:szCs w:val="20"/>
        </w:rPr>
        <w:t xml:space="preserve">The following Points are Endorsed, </w:t>
      </w:r>
      <w:proofErr w:type="gramStart"/>
      <w:r w:rsidRPr="004D2B97">
        <w:rPr>
          <w:rFonts w:cs="Arial"/>
          <w:b w:val="0"/>
          <w:bCs/>
          <w:szCs w:val="20"/>
        </w:rPr>
        <w:t>i.e.</w:t>
      </w:r>
      <w:proofErr w:type="gramEnd"/>
      <w:r w:rsidRPr="004D2B97">
        <w:rPr>
          <w:rFonts w:cs="Arial"/>
          <w:b w:val="0"/>
          <w:bCs/>
          <w:szCs w:val="20"/>
        </w:rPr>
        <w:t xml:space="preserve"> for the plan for next meeting (after one round of discussion at R2 119-e): </w:t>
      </w:r>
    </w:p>
    <w:p w14:paraId="2C96A6C4" w14:textId="77777777" w:rsidR="004D2B97" w:rsidRPr="004D2B97" w:rsidRDefault="004D2B97" w:rsidP="004D2B97">
      <w:pPr>
        <w:pStyle w:val="Agreement"/>
        <w:numPr>
          <w:ilvl w:val="1"/>
          <w:numId w:val="20"/>
        </w:numPr>
        <w:rPr>
          <w:rFonts w:cs="Arial"/>
          <w:b w:val="0"/>
          <w:bCs/>
          <w:szCs w:val="20"/>
        </w:rPr>
      </w:pPr>
      <w:r w:rsidRPr="004D2B97">
        <w:rPr>
          <w:rFonts w:cs="Arial"/>
          <w:b w:val="0"/>
          <w:bCs/>
          <w:szCs w:val="20"/>
        </w:rPr>
        <w:t xml:space="preserve">P1: RAN2 to discuss scenarios, if and where enhancements to cell (re-)selection to/from the mobile IAB-node apply, </w:t>
      </w:r>
      <w:proofErr w:type="gramStart"/>
      <w:r w:rsidRPr="004D2B97">
        <w:rPr>
          <w:rFonts w:cs="Arial"/>
          <w:b w:val="0"/>
          <w:bCs/>
          <w:szCs w:val="20"/>
        </w:rPr>
        <w:t>e.g.</w:t>
      </w:r>
      <w:proofErr w:type="gramEnd"/>
      <w:r w:rsidRPr="004D2B97">
        <w:rPr>
          <w:rFonts w:cs="Arial"/>
          <w:b w:val="0"/>
          <w:bCs/>
          <w:szCs w:val="20"/>
        </w:rPr>
        <w:t xml:space="preserve"> based on mobile IAB-node broadcast parameter (this point doesn’t preclude other potential usage of Bcast info).</w:t>
      </w:r>
    </w:p>
    <w:p w14:paraId="2A8884CC" w14:textId="77777777" w:rsidR="004D2B97" w:rsidRPr="004D2B97" w:rsidRDefault="004D2B97" w:rsidP="004D2B97">
      <w:pPr>
        <w:pStyle w:val="Agreement"/>
        <w:numPr>
          <w:ilvl w:val="1"/>
          <w:numId w:val="20"/>
        </w:numPr>
        <w:rPr>
          <w:rFonts w:cs="Arial"/>
          <w:b w:val="0"/>
          <w:bCs/>
          <w:szCs w:val="20"/>
        </w:rPr>
      </w:pPr>
      <w:r w:rsidRPr="004D2B97">
        <w:rPr>
          <w:rFonts w:cs="Arial"/>
          <w:b w:val="0"/>
          <w:bCs/>
          <w:szCs w:val="20"/>
        </w:rPr>
        <w:t xml:space="preserve">P2: Can discuss whether </w:t>
      </w:r>
      <w:proofErr w:type="gramStart"/>
      <w:r w:rsidRPr="004D2B97">
        <w:rPr>
          <w:rFonts w:cs="Arial"/>
          <w:b w:val="0"/>
          <w:bCs/>
          <w:szCs w:val="20"/>
        </w:rPr>
        <w:t>The</w:t>
      </w:r>
      <w:proofErr w:type="gramEnd"/>
      <w:r w:rsidRPr="004D2B97">
        <w:rPr>
          <w:rFonts w:cs="Arial"/>
          <w:b w:val="0"/>
          <w:bCs/>
          <w:szCs w:val="20"/>
        </w:rPr>
        <w:t xml:space="preserve"> mobile IAB-MT need to send a mobile-IAB indication (capability or mobility) to the IAB-donor-CU,</w:t>
      </w:r>
    </w:p>
    <w:p w14:paraId="525B468C" w14:textId="77777777" w:rsidR="004D2B97" w:rsidRPr="004D2B97" w:rsidRDefault="004D2B97" w:rsidP="004D2B97">
      <w:pPr>
        <w:pStyle w:val="Agreement"/>
        <w:numPr>
          <w:ilvl w:val="1"/>
          <w:numId w:val="20"/>
        </w:numPr>
        <w:rPr>
          <w:rFonts w:cs="Arial"/>
          <w:b w:val="0"/>
          <w:bCs/>
          <w:szCs w:val="20"/>
        </w:rPr>
      </w:pPr>
      <w:r w:rsidRPr="004D2B97">
        <w:rPr>
          <w:rFonts w:cs="Arial"/>
          <w:b w:val="0"/>
          <w:bCs/>
          <w:szCs w:val="20"/>
        </w:rPr>
        <w:t xml:space="preserve">P3: For “dual-DU-way” of doing full migration, RAN2 may discuss whether the legacy UE should see the two logical cells/DUs as separate or same physical cell(s), and what procedure(s) the legacy UE needs to perform in either case. </w:t>
      </w:r>
    </w:p>
    <w:p w14:paraId="12AE4ACB" w14:textId="77777777" w:rsidR="004D2B97" w:rsidRPr="004D2B97" w:rsidRDefault="004D2B97" w:rsidP="004D2B97">
      <w:pPr>
        <w:pStyle w:val="Agreement"/>
        <w:numPr>
          <w:ilvl w:val="1"/>
          <w:numId w:val="20"/>
        </w:numPr>
        <w:rPr>
          <w:rFonts w:cs="Arial"/>
          <w:b w:val="0"/>
          <w:bCs/>
          <w:szCs w:val="20"/>
        </w:rPr>
      </w:pPr>
      <w:r w:rsidRPr="004D2B97">
        <w:rPr>
          <w:rFonts w:cs="Arial"/>
          <w:b w:val="0"/>
          <w:bCs/>
          <w:szCs w:val="20"/>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437810BB" w14:textId="77777777" w:rsidR="004D2B97" w:rsidRPr="004D2B97" w:rsidRDefault="004D2B97" w:rsidP="004D2B97">
      <w:pPr>
        <w:pStyle w:val="Agreement"/>
        <w:numPr>
          <w:ilvl w:val="1"/>
          <w:numId w:val="20"/>
        </w:numPr>
        <w:rPr>
          <w:rFonts w:cs="Arial"/>
          <w:b w:val="0"/>
          <w:bCs/>
          <w:szCs w:val="20"/>
        </w:rPr>
      </w:pPr>
      <w:r w:rsidRPr="004D2B97">
        <w:rPr>
          <w:rFonts w:cs="Arial"/>
          <w:b w:val="0"/>
          <w:bCs/>
          <w:szCs w:val="20"/>
        </w:rPr>
        <w:t xml:space="preserve">P5: RAN2 may discuss whether there is a problem of RACH configuration collision between mobile IAB and stationary network from RAN2 perspective and/or whether RAN2 should ask RAN1 to consider RAN1-related aspects. </w:t>
      </w:r>
    </w:p>
    <w:p w14:paraId="4B975045" w14:textId="06EF3A2A" w:rsidR="00535A04" w:rsidRPr="004D2B97" w:rsidRDefault="00535A04" w:rsidP="00F9587E">
      <w:pPr>
        <w:rPr>
          <w:rFonts w:ascii="Arial" w:hAnsi="Arial" w:cs="Arial"/>
          <w:lang w:eastAsia="ja-JP"/>
        </w:rPr>
      </w:pPr>
    </w:p>
    <w:p w14:paraId="22972198" w14:textId="1AF090DF" w:rsidR="00535A04" w:rsidRPr="004D2B97" w:rsidRDefault="00535A04" w:rsidP="00F9587E">
      <w:pPr>
        <w:rPr>
          <w:rFonts w:ascii="Arial" w:hAnsi="Arial" w:cs="Arial"/>
          <w:lang w:eastAsia="ja-JP"/>
        </w:rPr>
      </w:pPr>
    </w:p>
    <w:p w14:paraId="19F28DE3" w14:textId="77777777" w:rsidR="00535A04" w:rsidRPr="00F9587E" w:rsidRDefault="00535A04" w:rsidP="00F9587E">
      <w:pPr>
        <w:rPr>
          <w:lang w:eastAsia="ja-JP"/>
        </w:rPr>
      </w:pPr>
    </w:p>
    <w:p w14:paraId="6918283D" w14:textId="446A5FBA" w:rsidR="00C21339" w:rsidRDefault="00701410" w:rsidP="00A86AB5">
      <w:pPr>
        <w:pStyle w:val="Heading4"/>
        <w:rPr>
          <w:lang w:eastAsia="ja-JP"/>
        </w:rPr>
      </w:pPr>
      <w:r>
        <w:rPr>
          <w:lang w:eastAsia="ja-JP"/>
        </w:rPr>
        <w:lastRenderedPageBreak/>
        <w:t>2.2.2</w:t>
      </w:r>
      <w:r>
        <w:rPr>
          <w:lang w:eastAsia="ja-JP"/>
        </w:rPr>
        <w:tab/>
        <w:t xml:space="preserve">Remaining Open issues </w:t>
      </w:r>
    </w:p>
    <w:p w14:paraId="196B36FF" w14:textId="658CB793" w:rsidR="004D2B97" w:rsidRPr="004D2B97" w:rsidRDefault="00941BB2" w:rsidP="004D2B97">
      <w:pPr>
        <w:rPr>
          <w:rFonts w:ascii="Arial" w:hAnsi="Arial" w:cs="Arial"/>
          <w:lang w:eastAsia="ja-JP"/>
        </w:rPr>
      </w:pPr>
      <w:r>
        <w:rPr>
          <w:rFonts w:ascii="Arial" w:hAnsi="Arial" w:cs="Arial"/>
          <w:highlight w:val="yellow"/>
        </w:rPr>
        <w:t>7</w:t>
      </w:r>
      <w:r w:rsidR="004D2B97" w:rsidRPr="004D2B97">
        <w:rPr>
          <w:rFonts w:ascii="Arial" w:hAnsi="Arial" w:cs="Arial"/>
          <w:highlight w:val="yellow"/>
        </w:rPr>
        <w:t>%</w:t>
      </w:r>
      <w:r w:rsidR="004D2B97" w:rsidRPr="004D2B97">
        <w:rPr>
          <w:rFonts w:ascii="Arial" w:hAnsi="Arial" w:cs="Arial"/>
        </w:rPr>
        <w:t xml:space="preserve"> of the items defined in the RAN2 WID objectives have been accomplished.</w:t>
      </w:r>
      <w:r w:rsidR="004D2B97" w:rsidRPr="004D2B97">
        <w:rPr>
          <w:rFonts w:ascii="Arial" w:hAnsi="Arial" w:cs="Arial"/>
          <w:lang w:eastAsia="ja-JP"/>
        </w:rPr>
        <w:t xml:space="preserve"> All objectives from WID on enhancements to IAB for NR require further work. </w:t>
      </w:r>
    </w:p>
    <w:p w14:paraId="0E41E636" w14:textId="11295101" w:rsidR="00535A04" w:rsidRDefault="00535A04" w:rsidP="00F9587E">
      <w:pPr>
        <w:rPr>
          <w:lang w:eastAsia="ja-JP"/>
        </w:rPr>
      </w:pPr>
    </w:p>
    <w:p w14:paraId="79154D5B" w14:textId="77777777" w:rsidR="00535A04" w:rsidRDefault="00535A04" w:rsidP="00F9587E">
      <w:pPr>
        <w:rPr>
          <w:lang w:eastAsia="ja-JP"/>
        </w:rPr>
      </w:pP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11B586E7" w14:textId="63114224" w:rsidR="00E811F3" w:rsidRDefault="00E811F3" w:rsidP="00E811F3">
      <w:pPr>
        <w:rPr>
          <w:rFonts w:ascii="Arial" w:hAnsi="Arial" w:cs="Arial"/>
          <w:b/>
          <w:bCs/>
        </w:rPr>
      </w:pPr>
      <w:r w:rsidRPr="004D2B97">
        <w:rPr>
          <w:rFonts w:ascii="Arial" w:hAnsi="Arial" w:cs="Arial"/>
          <w:b/>
          <w:bCs/>
          <w:highlight w:val="green"/>
        </w:rPr>
        <w:t>Agreements</w:t>
      </w:r>
      <w:r w:rsidRPr="004D2B97">
        <w:rPr>
          <w:rFonts w:ascii="Arial" w:hAnsi="Arial" w:cs="Arial"/>
          <w:b/>
          <w:bCs/>
        </w:rPr>
        <w:t xml:space="preserve"> on </w:t>
      </w:r>
      <w:r w:rsidR="00422F19">
        <w:rPr>
          <w:rFonts w:ascii="Arial" w:hAnsi="Arial" w:cs="Arial"/>
          <w:b/>
          <w:bCs/>
        </w:rPr>
        <w:t>general topics</w:t>
      </w:r>
      <w:r w:rsidRPr="004D2B97">
        <w:rPr>
          <w:rFonts w:ascii="Arial" w:hAnsi="Arial" w:cs="Arial"/>
          <w:b/>
          <w:bCs/>
        </w:rPr>
        <w:t>:</w:t>
      </w:r>
    </w:p>
    <w:p w14:paraId="2BD20C32"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Rel-16/17 IAB can support mobile IAB-node connectivity to a stationary intermediate node.</w:t>
      </w:r>
    </w:p>
    <w:p w14:paraId="342A9462"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Enhancements/optimizations that are specific to the scenario where the mobile IAB-node connects to a stationary (intermediate) IAB-node are deprioritized.</w:t>
      </w:r>
    </w:p>
    <w:p w14:paraId="608B529C"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Optimizations/enhancements that are specific to the scenario where the mobile IAB-node connects directly to a donor-DU are deprioritized.</w:t>
      </w:r>
    </w:p>
    <w:p w14:paraId="5BED10CC"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RAN3 will not discuss separate authorization for mobile IAB without request by SA2. </w:t>
      </w:r>
    </w:p>
    <w:p w14:paraId="30AA520E"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Mobility of dual-connected IAB-nodes is down prioritized in Rel18.</w:t>
      </w:r>
    </w:p>
    <w:p w14:paraId="111AA4CD" w14:textId="3CEF886E" w:rsidR="00422F19" w:rsidRDefault="00422F19" w:rsidP="00422F19">
      <w:pPr>
        <w:rPr>
          <w:rFonts w:ascii="Calibri" w:hAnsi="Calibri" w:cs="Calibri"/>
          <w:b/>
          <w:color w:val="008000"/>
          <w:sz w:val="18"/>
          <w:szCs w:val="18"/>
        </w:rPr>
      </w:pPr>
    </w:p>
    <w:p w14:paraId="75F6DE22" w14:textId="0C4E9D79" w:rsidR="00422F19" w:rsidRDefault="00422F19" w:rsidP="00422F19">
      <w:pPr>
        <w:rPr>
          <w:rFonts w:ascii="Arial" w:hAnsi="Arial" w:cs="Arial"/>
          <w:b/>
          <w:bCs/>
        </w:rPr>
      </w:pPr>
      <w:r w:rsidRPr="004D2B97">
        <w:rPr>
          <w:rFonts w:ascii="Arial" w:hAnsi="Arial" w:cs="Arial"/>
          <w:b/>
          <w:bCs/>
          <w:highlight w:val="green"/>
        </w:rPr>
        <w:t>Agreements</w:t>
      </w:r>
      <w:r w:rsidRPr="004D2B97">
        <w:rPr>
          <w:rFonts w:ascii="Arial" w:hAnsi="Arial" w:cs="Arial"/>
          <w:b/>
          <w:bCs/>
        </w:rPr>
        <w:t xml:space="preserve"> on </w:t>
      </w:r>
      <w:r>
        <w:rPr>
          <w:rFonts w:ascii="Arial" w:hAnsi="Arial" w:cs="Arial"/>
          <w:b/>
          <w:bCs/>
        </w:rPr>
        <w:t>support for IAB-node mobility</w:t>
      </w:r>
      <w:r w:rsidRPr="004D2B97">
        <w:rPr>
          <w:rFonts w:ascii="Arial" w:hAnsi="Arial" w:cs="Arial"/>
          <w:b/>
          <w:bCs/>
        </w:rPr>
        <w:t>:</w:t>
      </w:r>
    </w:p>
    <w:p w14:paraId="4EFD025E"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As already supported in Rel17, a mobile IAB-MT and </w:t>
      </w:r>
      <w:proofErr w:type="gramStart"/>
      <w:r w:rsidRPr="009E7473">
        <w:rPr>
          <w:rFonts w:cs="Arial"/>
          <w:b w:val="0"/>
          <w:bCs/>
          <w:szCs w:val="20"/>
        </w:rPr>
        <w:t>its</w:t>
      </w:r>
      <w:proofErr w:type="gramEnd"/>
      <w:r w:rsidRPr="009E7473">
        <w:rPr>
          <w:rFonts w:cs="Arial"/>
          <w:b w:val="0"/>
          <w:bCs/>
          <w:szCs w:val="20"/>
        </w:rPr>
        <w:t xml:space="preserve"> co-located mobile IAB-DU may be served by different donor CUs.</w:t>
      </w:r>
    </w:p>
    <w:p w14:paraId="5B50C08A"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The mobile IAB donor that the co-located IAB-DU connects to may remain unchanged after the IAB-MT HO. </w:t>
      </w:r>
    </w:p>
    <w:p w14:paraId="43F759A8"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(1-3) RAN3 to discuss whether a mobile IAB-DU can execute inter-donor migration, while the co-located mobile IAB-MT stays connected to the same donor before and after the mobile IAB-DU migration.</w:t>
      </w:r>
    </w:p>
    <w:p w14:paraId="03374E9D"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RAN3 to discuss whether a mobile IAB-DU can execute inter-donor migration, while the co-located mobile IAB-MT executes inter-donor migration.</w:t>
      </w:r>
    </w:p>
    <w:p w14:paraId="7BCF8292"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When IP connectivity between target IAB-donor DU and source IAB-donor CU is available, and when Xn connectivity between source and target donor CU is available, the Rel-17 partial migration is used as baseline for supporting the F1 transport migration and inter-donor routing when </w:t>
      </w:r>
      <w:proofErr w:type="gramStart"/>
      <w:r w:rsidRPr="009E7473">
        <w:rPr>
          <w:rFonts w:cs="Arial"/>
          <w:b w:val="0"/>
          <w:bCs/>
          <w:szCs w:val="20"/>
        </w:rPr>
        <w:t>an</w:t>
      </w:r>
      <w:proofErr w:type="gramEnd"/>
      <w:r w:rsidRPr="009E7473">
        <w:rPr>
          <w:rFonts w:cs="Arial"/>
          <w:b w:val="0"/>
          <w:bCs/>
          <w:szCs w:val="20"/>
        </w:rPr>
        <w:t xml:space="preserve"> mobile IAB-DU and its co-located mobile IAB-MT are connected to different donor CUs.</w:t>
      </w:r>
    </w:p>
    <w:p w14:paraId="62D11B51"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The mobile IAB-node may perform multiple consecutive partial migrations without inter-donor migration of its mobile IAB-DU. </w:t>
      </w:r>
    </w:p>
    <w:p w14:paraId="0B11E226" w14:textId="744AF6E1" w:rsidR="00422F19" w:rsidRDefault="00422F19" w:rsidP="009E7473">
      <w:pPr>
        <w:pStyle w:val="Agreement"/>
        <w:numPr>
          <w:ilvl w:val="0"/>
          <w:numId w:val="20"/>
        </w:numPr>
        <w:rPr>
          <w:rFonts w:cs="Arial"/>
          <w:b w:val="0"/>
          <w:bCs/>
          <w:szCs w:val="20"/>
        </w:rPr>
      </w:pPr>
      <w:r w:rsidRPr="009E7473">
        <w:rPr>
          <w:rFonts w:cs="Arial"/>
          <w:b w:val="0"/>
          <w:bCs/>
          <w:szCs w:val="20"/>
        </w:rPr>
        <w:t>RAN3 to discuss how inter-donor topology adaptation can be supported for mobile IAB in absence of Xn and/or inter-donor IP routability.</w:t>
      </w:r>
    </w:p>
    <w:p w14:paraId="2DA8EA57"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Rel17 mechanisms support intra donor CU migration of mobile IAB. </w:t>
      </w:r>
    </w:p>
    <w:p w14:paraId="4432D423"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For DU migration cases, to execute the handover of the served UEs, the mobile IAB-node concurrently supports two logical mobile IAB-DUs, which have F1AP associations with the source CU and the target CU, respectively.</w:t>
      </w:r>
    </w:p>
    <w:p w14:paraId="5DB450A3"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The UEs connected to the mobile IAB-node are handed over from the cell of the logical mobile IAB-DU (i.e., the source logical mobile IAB-DU) that has an F1AP association with the source CU to the cell of the logical mobile IAB-DU (i.e., the target logical mobile IAB-DU) that has an F1AP association with the target CU.</w:t>
      </w:r>
    </w:p>
    <w:p w14:paraId="4EBC8BF0"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RAN3 to discuss whether a mobile IAB node may be configured with multiple configurations, each corresponding to a different target donor, that can be activated upon fulfillment of certain condition(s). The details of the configurations are FFS.</w:t>
      </w:r>
    </w:p>
    <w:p w14:paraId="32514D1B" w14:textId="77777777" w:rsidR="00422F19" w:rsidRDefault="00422F19" w:rsidP="00422F19"/>
    <w:p w14:paraId="48C070A4" w14:textId="77777777" w:rsidR="00422F19" w:rsidRDefault="00422F19" w:rsidP="00422F19">
      <w:pPr>
        <w:rPr>
          <w:rFonts w:ascii="Calibri" w:hAnsi="Calibri" w:cs="Calibri"/>
          <w:b/>
          <w:color w:val="008000"/>
          <w:sz w:val="18"/>
          <w:szCs w:val="18"/>
        </w:rPr>
      </w:pPr>
    </w:p>
    <w:p w14:paraId="19AE0F09" w14:textId="3020549E" w:rsidR="00422F19" w:rsidRDefault="00422F19" w:rsidP="00422F19">
      <w:pPr>
        <w:rPr>
          <w:rFonts w:ascii="Arial" w:hAnsi="Arial" w:cs="Arial"/>
          <w:b/>
          <w:bCs/>
        </w:rPr>
      </w:pPr>
      <w:r w:rsidRPr="004D2B97">
        <w:rPr>
          <w:rFonts w:ascii="Arial" w:hAnsi="Arial" w:cs="Arial"/>
          <w:b/>
          <w:bCs/>
          <w:highlight w:val="green"/>
        </w:rPr>
        <w:t>Agreements</w:t>
      </w:r>
      <w:r w:rsidRPr="004D2B97">
        <w:rPr>
          <w:rFonts w:ascii="Arial" w:hAnsi="Arial" w:cs="Arial"/>
          <w:b/>
          <w:bCs/>
        </w:rPr>
        <w:t xml:space="preserve"> on </w:t>
      </w:r>
      <w:r>
        <w:rPr>
          <w:rFonts w:ascii="Arial" w:hAnsi="Arial" w:cs="Arial"/>
          <w:b/>
          <w:bCs/>
        </w:rPr>
        <w:t>mobility enhancements</w:t>
      </w:r>
      <w:r w:rsidRPr="004D2B97">
        <w:rPr>
          <w:rFonts w:ascii="Arial" w:hAnsi="Arial" w:cs="Arial"/>
          <w:b/>
          <w:bCs/>
        </w:rPr>
        <w:t>:</w:t>
      </w:r>
    </w:p>
    <w:p w14:paraId="7407D341" w14:textId="77777777" w:rsidR="00422F19" w:rsidRDefault="00422F19" w:rsidP="00422F19"/>
    <w:p w14:paraId="2A25B1CA"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For group mobility enhancement, RAN3 to discuss the benefit and whether to support signaling of information related to multiple UE contexts in a single message, during </w:t>
      </w:r>
      <w:proofErr w:type="gramStart"/>
      <w:r w:rsidRPr="009E7473">
        <w:rPr>
          <w:rFonts w:cs="Arial"/>
          <w:b w:val="0"/>
          <w:bCs/>
          <w:szCs w:val="20"/>
        </w:rPr>
        <w:t>e.g.</w:t>
      </w:r>
      <w:proofErr w:type="gramEnd"/>
      <w:r w:rsidRPr="009E7473">
        <w:rPr>
          <w:rFonts w:cs="Arial"/>
          <w:b w:val="0"/>
          <w:bCs/>
          <w:szCs w:val="20"/>
        </w:rPr>
        <w:t xml:space="preserve"> the handover preparation, path switch, and context release procedures.</w:t>
      </w:r>
    </w:p>
    <w:p w14:paraId="53F743C5"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The donor CU should know that the IAB node is “mobile”. </w:t>
      </w:r>
    </w:p>
    <w:p w14:paraId="4FEFC5C4"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RAN3 to discuss whether the target IAB-donor should know the migrating IAB-node is “mobile IAB-node” from the source IAB-donor.</w:t>
      </w:r>
    </w:p>
    <w:p w14:paraId="3C82CAF1"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RAN3 to discuss whether to support means to identify onboard UEs.</w:t>
      </w:r>
    </w:p>
    <w:p w14:paraId="08314534" w14:textId="77777777" w:rsidR="00422F19" w:rsidRDefault="00422F19" w:rsidP="00422F19"/>
    <w:p w14:paraId="6EFDCBA2" w14:textId="77777777" w:rsidR="00422F19" w:rsidRDefault="00422F19" w:rsidP="00422F19">
      <w:pPr>
        <w:rPr>
          <w:rFonts w:ascii="Calibri" w:hAnsi="Calibri" w:cs="Calibri"/>
          <w:b/>
          <w:color w:val="008000"/>
          <w:sz w:val="18"/>
          <w:szCs w:val="18"/>
        </w:rPr>
      </w:pPr>
    </w:p>
    <w:p w14:paraId="1979EF34" w14:textId="237C462C" w:rsidR="00422F19" w:rsidRDefault="00422F19" w:rsidP="00422F19">
      <w:pPr>
        <w:rPr>
          <w:rFonts w:ascii="Arial" w:hAnsi="Arial" w:cs="Arial"/>
          <w:b/>
          <w:bCs/>
        </w:rPr>
      </w:pPr>
      <w:r w:rsidRPr="004D2B97">
        <w:rPr>
          <w:rFonts w:ascii="Arial" w:hAnsi="Arial" w:cs="Arial"/>
          <w:b/>
          <w:bCs/>
          <w:highlight w:val="green"/>
        </w:rPr>
        <w:t>Agreements</w:t>
      </w:r>
      <w:r w:rsidRPr="004D2B97">
        <w:rPr>
          <w:rFonts w:ascii="Arial" w:hAnsi="Arial" w:cs="Arial"/>
          <w:b/>
          <w:bCs/>
        </w:rPr>
        <w:t xml:space="preserve"> on </w:t>
      </w:r>
      <w:r>
        <w:rPr>
          <w:rFonts w:ascii="Arial" w:hAnsi="Arial" w:cs="Arial"/>
          <w:b/>
          <w:bCs/>
        </w:rPr>
        <w:t>mitigation of interference</w:t>
      </w:r>
      <w:r w:rsidRPr="004D2B97">
        <w:rPr>
          <w:rFonts w:ascii="Arial" w:hAnsi="Arial" w:cs="Arial"/>
          <w:b/>
          <w:bCs/>
        </w:rPr>
        <w:t>:</w:t>
      </w:r>
    </w:p>
    <w:p w14:paraId="78ABA353"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PCI space partitioning via OAM configuration can be used in some cases for avoidance of PCI collisions.</w:t>
      </w:r>
    </w:p>
    <w:p w14:paraId="6BA58C87"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 xml:space="preserve">From RAN3 perspective, existing mechanism can be used for PCI collision detection in mobile IAB scenario. Further enhancement is FFS. </w:t>
      </w:r>
    </w:p>
    <w:p w14:paraId="490D0E1B"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RAN3 to discuss whether mobile IAB needs any enhancements to the existing mechanisms for PCI collision avoidance and/or optimization.</w:t>
      </w:r>
    </w:p>
    <w:p w14:paraId="14E2ED6A" w14:textId="77777777" w:rsidR="00422F19" w:rsidRPr="009E7473" w:rsidRDefault="00422F19" w:rsidP="009E7473">
      <w:pPr>
        <w:pStyle w:val="Agreement"/>
        <w:numPr>
          <w:ilvl w:val="0"/>
          <w:numId w:val="20"/>
        </w:numPr>
        <w:rPr>
          <w:rFonts w:cs="Arial"/>
          <w:b w:val="0"/>
          <w:bCs/>
          <w:szCs w:val="20"/>
        </w:rPr>
      </w:pPr>
      <w:r w:rsidRPr="009E7473">
        <w:rPr>
          <w:rFonts w:cs="Arial"/>
          <w:b w:val="0"/>
          <w:bCs/>
          <w:szCs w:val="20"/>
        </w:rPr>
        <w:t>From RAN3 perspective, no enhancements are needed for RACH collision avoidance unless requested by other WGs.</w:t>
      </w:r>
    </w:p>
    <w:p w14:paraId="60BAB98C" w14:textId="77777777" w:rsidR="00422F19" w:rsidRPr="00C85A4B" w:rsidRDefault="00422F19" w:rsidP="00422F19"/>
    <w:p w14:paraId="05E6C52A" w14:textId="74936F54" w:rsidR="00701410" w:rsidRDefault="00701410" w:rsidP="00701410">
      <w:pPr>
        <w:pStyle w:val="Heading4"/>
        <w:rPr>
          <w:lang w:eastAsia="ja-JP"/>
        </w:rPr>
      </w:pPr>
      <w:r>
        <w:rPr>
          <w:lang w:eastAsia="ja-JP"/>
        </w:rPr>
        <w:t>2.3.2</w:t>
      </w:r>
      <w:r>
        <w:rPr>
          <w:lang w:eastAsia="ja-JP"/>
        </w:rPr>
        <w:tab/>
        <w:t>Remaining Open issues</w:t>
      </w:r>
    </w:p>
    <w:p w14:paraId="6A6C0F91" w14:textId="776FCF84" w:rsidR="00E811F3" w:rsidRPr="004D2B97" w:rsidRDefault="00D318B0" w:rsidP="00E811F3">
      <w:pPr>
        <w:rPr>
          <w:rFonts w:ascii="Arial" w:hAnsi="Arial" w:cs="Arial"/>
          <w:lang w:eastAsia="ja-JP"/>
        </w:rPr>
      </w:pPr>
      <w:r>
        <w:rPr>
          <w:rFonts w:ascii="Arial" w:hAnsi="Arial" w:cs="Arial"/>
          <w:highlight w:val="yellow"/>
        </w:rPr>
        <w:t>7</w:t>
      </w:r>
      <w:r w:rsidR="00E811F3" w:rsidRPr="004D2B97">
        <w:rPr>
          <w:rFonts w:ascii="Arial" w:hAnsi="Arial" w:cs="Arial"/>
          <w:highlight w:val="yellow"/>
        </w:rPr>
        <w:t>%</w:t>
      </w:r>
      <w:r w:rsidR="00E811F3" w:rsidRPr="004D2B97">
        <w:rPr>
          <w:rFonts w:ascii="Arial" w:hAnsi="Arial" w:cs="Arial"/>
        </w:rPr>
        <w:t xml:space="preserve"> of the items defined in the RAN</w:t>
      </w:r>
      <w:r w:rsidR="00E811F3">
        <w:rPr>
          <w:rFonts w:ascii="Arial" w:hAnsi="Arial" w:cs="Arial"/>
        </w:rPr>
        <w:t>3</w:t>
      </w:r>
      <w:r w:rsidR="00E811F3" w:rsidRPr="004D2B97">
        <w:rPr>
          <w:rFonts w:ascii="Arial" w:hAnsi="Arial" w:cs="Arial"/>
        </w:rPr>
        <w:t xml:space="preserve"> WID objectives have been accomplished.</w:t>
      </w:r>
      <w:r w:rsidR="00E811F3" w:rsidRPr="004D2B97">
        <w:rPr>
          <w:rFonts w:ascii="Arial" w:hAnsi="Arial" w:cs="Arial"/>
          <w:lang w:eastAsia="ja-JP"/>
        </w:rPr>
        <w:t xml:space="preserve"> All objectives from WID on enhancements to IAB for NR require further work. </w:t>
      </w:r>
    </w:p>
    <w:p w14:paraId="5722EB98" w14:textId="77777777" w:rsidR="00F9587E" w:rsidRPr="00F9587E" w:rsidRDefault="00F9587E"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9A1A182" w:rsidR="00701410" w:rsidRDefault="00701410" w:rsidP="00701410">
      <w:pPr>
        <w:pStyle w:val="Heading4"/>
        <w:rPr>
          <w:lang w:eastAsia="ja-JP"/>
        </w:rPr>
      </w:pPr>
      <w:r>
        <w:rPr>
          <w:lang w:eastAsia="ja-JP"/>
        </w:rPr>
        <w:t>2.4.1</w:t>
      </w:r>
      <w:r>
        <w:rPr>
          <w:lang w:eastAsia="ja-JP"/>
        </w:rPr>
        <w:tab/>
        <w:t>Agreements</w:t>
      </w:r>
    </w:p>
    <w:p w14:paraId="3E00FA9E" w14:textId="77777777" w:rsidR="00F9587E" w:rsidRPr="00941BB2" w:rsidRDefault="00F9587E" w:rsidP="00F9587E">
      <w:pPr>
        <w:rPr>
          <w:rFonts w:ascii="Arial" w:hAnsi="Arial" w:cs="Arial"/>
        </w:rPr>
      </w:pPr>
      <w:r w:rsidRPr="00941BB2">
        <w:rPr>
          <w:rFonts w:ascii="Arial" w:hAnsi="Arial" w:cs="Arial"/>
        </w:rPr>
        <w:t>None. Work has not started.</w:t>
      </w:r>
    </w:p>
    <w:p w14:paraId="37D259DA" w14:textId="40696C56" w:rsidR="00701410" w:rsidRDefault="00701410" w:rsidP="00701410">
      <w:pPr>
        <w:pStyle w:val="Heading4"/>
        <w:rPr>
          <w:lang w:eastAsia="ja-JP"/>
        </w:rPr>
      </w:pPr>
      <w:r>
        <w:rPr>
          <w:lang w:eastAsia="ja-JP"/>
        </w:rPr>
        <w:t>2.4.2</w:t>
      </w:r>
      <w:r>
        <w:rPr>
          <w:lang w:eastAsia="ja-JP"/>
        </w:rPr>
        <w:tab/>
        <w:t>Remaining Open issues</w:t>
      </w:r>
    </w:p>
    <w:p w14:paraId="22F22562" w14:textId="5784C995" w:rsidR="00941BB2" w:rsidRPr="004D2B97" w:rsidRDefault="00941BB2" w:rsidP="00941BB2">
      <w:pPr>
        <w:rPr>
          <w:rFonts w:ascii="Arial" w:hAnsi="Arial" w:cs="Arial"/>
          <w:lang w:eastAsia="ja-JP"/>
        </w:rPr>
      </w:pPr>
      <w:r w:rsidRPr="00941BB2">
        <w:rPr>
          <w:rFonts w:ascii="Arial" w:hAnsi="Arial" w:cs="Arial"/>
          <w:highlight w:val="yellow"/>
        </w:rPr>
        <w:t>0%</w:t>
      </w:r>
      <w:r>
        <w:rPr>
          <w:rFonts w:ascii="Arial" w:hAnsi="Arial" w:cs="Arial"/>
        </w:rPr>
        <w:t xml:space="preserve"> of items defined in the RAN4 WID objectives have been accomplished. </w:t>
      </w:r>
      <w:r w:rsidR="00F9587E" w:rsidRPr="00941BB2">
        <w:rPr>
          <w:rFonts w:ascii="Arial" w:hAnsi="Arial" w:cs="Arial"/>
        </w:rPr>
        <w:t>All objectives from WID on enhancements to IAB for NR</w:t>
      </w:r>
      <w:r w:rsidRPr="00941BB2">
        <w:rPr>
          <w:rFonts w:ascii="Arial" w:hAnsi="Arial" w:cs="Arial"/>
          <w:lang w:eastAsia="ja-JP"/>
        </w:rPr>
        <w:t xml:space="preserve"> </w:t>
      </w:r>
      <w:r w:rsidRPr="004D2B97">
        <w:rPr>
          <w:rFonts w:ascii="Arial" w:hAnsi="Arial" w:cs="Arial"/>
          <w:lang w:eastAsia="ja-JP"/>
        </w:rPr>
        <w:t xml:space="preserve">require further work. </w:t>
      </w:r>
    </w:p>
    <w:p w14:paraId="3F613EAA" w14:textId="3E90E3ED" w:rsidR="00F9587E" w:rsidRPr="00941BB2" w:rsidRDefault="00F9587E" w:rsidP="00F9587E">
      <w:pPr>
        <w:rPr>
          <w:rFonts w:ascii="Arial" w:hAnsi="Arial" w:cs="Arial"/>
        </w:rPr>
      </w:pPr>
      <w:r w:rsidRPr="00941BB2">
        <w:rPr>
          <w:rFonts w:ascii="Arial" w:hAnsi="Arial" w:cs="Arial"/>
        </w:rPr>
        <w:t>.</w:t>
      </w:r>
    </w:p>
    <w:p w14:paraId="1FB99AAF" w14:textId="2E6FEC77" w:rsidR="00161517" w:rsidRDefault="00161517" w:rsidP="00F9587E">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A0E3324"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DCCC6E3" w14:textId="0BA466BA" w:rsidR="008340B9" w:rsidRPr="008340B9" w:rsidRDefault="008340B9" w:rsidP="004F218A">
      <w:pPr>
        <w:pStyle w:val="NO"/>
        <w:rPr>
          <w:rFonts w:ascii="Arial" w:hAnsi="Arial" w:cs="Arial"/>
          <w:b/>
          <w:bCs/>
          <w:iCs/>
        </w:rPr>
      </w:pPr>
      <w:r w:rsidRPr="008340B9">
        <w:rPr>
          <w:rFonts w:ascii="Arial" w:hAnsi="Arial" w:cs="Arial"/>
          <w:b/>
          <w:bCs/>
          <w:iCs/>
        </w:rPr>
        <w:t>RAN2#119e:</w:t>
      </w:r>
    </w:p>
    <w:tbl>
      <w:tblPr>
        <w:tblW w:w="9700" w:type="dxa"/>
        <w:tblLook w:val="04A0" w:firstRow="1" w:lastRow="0" w:firstColumn="1" w:lastColumn="0" w:noHBand="0" w:noVBand="1"/>
      </w:tblPr>
      <w:tblGrid>
        <w:gridCol w:w="1400"/>
        <w:gridCol w:w="6400"/>
        <w:gridCol w:w="1900"/>
      </w:tblGrid>
      <w:tr w:rsidR="008340B9" w:rsidRPr="008340B9" w14:paraId="15F452A9" w14:textId="77777777" w:rsidTr="008340B9">
        <w:trPr>
          <w:trHeight w:val="900"/>
        </w:trPr>
        <w:tc>
          <w:tcPr>
            <w:tcW w:w="1400" w:type="dxa"/>
            <w:tcBorders>
              <w:top w:val="single" w:sz="4" w:space="0" w:color="FFFFFF"/>
              <w:left w:val="single" w:sz="4" w:space="0" w:color="FFFFFF"/>
              <w:bottom w:val="single" w:sz="4" w:space="0" w:color="FFFFFF"/>
              <w:right w:val="single" w:sz="4" w:space="0" w:color="FFFFFF"/>
            </w:tcBorders>
            <w:shd w:val="clear" w:color="000000" w:fill="75B91A"/>
            <w:hideMark/>
          </w:tcPr>
          <w:p w14:paraId="61BFBACE" w14:textId="77777777" w:rsidR="008340B9" w:rsidRPr="008340B9" w:rsidRDefault="008340B9" w:rsidP="008340B9">
            <w:pPr>
              <w:overflowPunct/>
              <w:autoSpaceDE/>
              <w:autoSpaceDN/>
              <w:adjustRightInd/>
              <w:spacing w:after="0"/>
              <w:jc w:val="center"/>
              <w:textAlignment w:val="auto"/>
              <w:rPr>
                <w:rFonts w:ascii="Arial" w:hAnsi="Arial" w:cs="Arial"/>
                <w:b/>
                <w:bCs/>
                <w:color w:val="FFFFFF"/>
                <w:sz w:val="18"/>
                <w:szCs w:val="18"/>
                <w:lang w:val="en-US" w:eastAsia="en-US"/>
              </w:rPr>
            </w:pPr>
            <w:r w:rsidRPr="008340B9">
              <w:rPr>
                <w:rFonts w:ascii="Arial" w:hAnsi="Arial" w:cs="Arial"/>
                <w:b/>
                <w:bCs/>
                <w:color w:val="FFFFFF"/>
                <w:sz w:val="18"/>
                <w:szCs w:val="18"/>
                <w:lang w:val="en-US" w:eastAsia="en-US"/>
              </w:rPr>
              <w:t>Tdoc</w:t>
            </w:r>
          </w:p>
        </w:tc>
        <w:tc>
          <w:tcPr>
            <w:tcW w:w="6400" w:type="dxa"/>
            <w:tcBorders>
              <w:top w:val="single" w:sz="4" w:space="0" w:color="FFFFFF"/>
              <w:left w:val="nil"/>
              <w:bottom w:val="single" w:sz="4" w:space="0" w:color="FFFFFF"/>
              <w:right w:val="single" w:sz="4" w:space="0" w:color="FFFFFF"/>
            </w:tcBorders>
            <w:shd w:val="clear" w:color="000000" w:fill="75B91A"/>
            <w:hideMark/>
          </w:tcPr>
          <w:p w14:paraId="136E698C" w14:textId="77777777" w:rsidR="008340B9" w:rsidRPr="008340B9" w:rsidRDefault="008340B9" w:rsidP="008340B9">
            <w:pPr>
              <w:overflowPunct/>
              <w:autoSpaceDE/>
              <w:autoSpaceDN/>
              <w:adjustRightInd/>
              <w:spacing w:after="0"/>
              <w:jc w:val="center"/>
              <w:textAlignment w:val="auto"/>
              <w:rPr>
                <w:rFonts w:ascii="Arial" w:hAnsi="Arial" w:cs="Arial"/>
                <w:b/>
                <w:bCs/>
                <w:color w:val="FFFFFF"/>
                <w:sz w:val="18"/>
                <w:szCs w:val="18"/>
                <w:lang w:val="en-US" w:eastAsia="en-US"/>
              </w:rPr>
            </w:pPr>
            <w:r w:rsidRPr="008340B9">
              <w:rPr>
                <w:rFonts w:ascii="Arial" w:hAnsi="Arial" w:cs="Arial"/>
                <w:b/>
                <w:bCs/>
                <w:color w:val="FFFFFF"/>
                <w:sz w:val="18"/>
                <w:szCs w:val="18"/>
                <w:lang w:val="en-US" w:eastAsia="en-US"/>
              </w:rPr>
              <w:t>Title</w:t>
            </w:r>
          </w:p>
        </w:tc>
        <w:tc>
          <w:tcPr>
            <w:tcW w:w="1900" w:type="dxa"/>
            <w:tcBorders>
              <w:top w:val="single" w:sz="4" w:space="0" w:color="FFFFFF"/>
              <w:left w:val="nil"/>
              <w:bottom w:val="single" w:sz="4" w:space="0" w:color="FFFFFF"/>
              <w:right w:val="single" w:sz="4" w:space="0" w:color="FFFFFF"/>
            </w:tcBorders>
            <w:shd w:val="clear" w:color="000000" w:fill="75B91A"/>
            <w:hideMark/>
          </w:tcPr>
          <w:p w14:paraId="0DD3EB3E" w14:textId="77777777" w:rsidR="008340B9" w:rsidRPr="008340B9" w:rsidRDefault="008340B9" w:rsidP="008340B9">
            <w:pPr>
              <w:overflowPunct/>
              <w:autoSpaceDE/>
              <w:autoSpaceDN/>
              <w:adjustRightInd/>
              <w:spacing w:after="0"/>
              <w:jc w:val="center"/>
              <w:textAlignment w:val="auto"/>
              <w:rPr>
                <w:rFonts w:ascii="Arial" w:hAnsi="Arial" w:cs="Arial"/>
                <w:b/>
                <w:bCs/>
                <w:color w:val="FFFFFF"/>
                <w:sz w:val="18"/>
                <w:szCs w:val="18"/>
                <w:lang w:val="en-US" w:eastAsia="en-US"/>
              </w:rPr>
            </w:pPr>
            <w:r w:rsidRPr="008340B9">
              <w:rPr>
                <w:rFonts w:ascii="Arial" w:hAnsi="Arial" w:cs="Arial"/>
                <w:b/>
                <w:bCs/>
                <w:color w:val="FFFFFF"/>
                <w:sz w:val="18"/>
                <w:szCs w:val="18"/>
                <w:lang w:val="en-US" w:eastAsia="en-US"/>
              </w:rPr>
              <w:t>Source</w:t>
            </w:r>
          </w:p>
        </w:tc>
      </w:tr>
      <w:tr w:rsidR="008340B9" w:rsidRPr="008340B9" w14:paraId="6B8B22ED" w14:textId="77777777" w:rsidTr="008340B9">
        <w:trPr>
          <w:trHeight w:val="225"/>
        </w:trPr>
        <w:tc>
          <w:tcPr>
            <w:tcW w:w="1400" w:type="dxa"/>
            <w:tcBorders>
              <w:top w:val="single" w:sz="4" w:space="0" w:color="A6A6A6"/>
              <w:left w:val="single" w:sz="4" w:space="0" w:color="A6A6A6"/>
              <w:bottom w:val="single" w:sz="4" w:space="0" w:color="A6A6A6"/>
              <w:right w:val="single" w:sz="4" w:space="0" w:color="A6A6A6"/>
            </w:tcBorders>
            <w:shd w:val="clear" w:color="auto" w:fill="auto"/>
            <w:hideMark/>
          </w:tcPr>
          <w:p w14:paraId="5913EC85"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7" w:history="1">
              <w:r w:rsidR="008340B9" w:rsidRPr="008340B9">
                <w:rPr>
                  <w:rFonts w:ascii="Arial" w:hAnsi="Arial" w:cs="Arial"/>
                  <w:b/>
                  <w:bCs/>
                  <w:color w:val="0000FF"/>
                  <w:sz w:val="16"/>
                  <w:szCs w:val="16"/>
                  <w:u w:val="single"/>
                  <w:lang w:val="en-US" w:eastAsia="en-US"/>
                </w:rPr>
                <w:t>R2-2207121</w:t>
              </w:r>
            </w:hyperlink>
          </w:p>
        </w:tc>
        <w:tc>
          <w:tcPr>
            <w:tcW w:w="6400" w:type="dxa"/>
            <w:tcBorders>
              <w:top w:val="single" w:sz="4" w:space="0" w:color="A6A6A6"/>
              <w:left w:val="nil"/>
              <w:bottom w:val="single" w:sz="4" w:space="0" w:color="A6A6A6"/>
              <w:right w:val="single" w:sz="4" w:space="0" w:color="A6A6A6"/>
            </w:tcBorders>
            <w:shd w:val="clear" w:color="auto" w:fill="auto"/>
            <w:hideMark/>
          </w:tcPr>
          <w:p w14:paraId="6C657CF6"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Mobility Enhancement of mobile IAB-node and served UEs</w:t>
            </w:r>
          </w:p>
        </w:tc>
        <w:tc>
          <w:tcPr>
            <w:tcW w:w="1900" w:type="dxa"/>
            <w:tcBorders>
              <w:top w:val="single" w:sz="4" w:space="0" w:color="A6A6A6"/>
              <w:left w:val="nil"/>
              <w:bottom w:val="single" w:sz="4" w:space="0" w:color="A6A6A6"/>
              <w:right w:val="single" w:sz="4" w:space="0" w:color="A6A6A6"/>
            </w:tcBorders>
            <w:shd w:val="clear" w:color="auto" w:fill="auto"/>
            <w:hideMark/>
          </w:tcPr>
          <w:p w14:paraId="0C77D09F"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Intel Corporation</w:t>
            </w:r>
          </w:p>
        </w:tc>
      </w:tr>
      <w:tr w:rsidR="008340B9" w:rsidRPr="008340B9" w14:paraId="07EBE3D9"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53C7BCA8"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8" w:history="1">
              <w:r w:rsidR="008340B9" w:rsidRPr="008340B9">
                <w:rPr>
                  <w:rFonts w:ascii="Arial" w:hAnsi="Arial" w:cs="Arial"/>
                  <w:b/>
                  <w:bCs/>
                  <w:color w:val="0000FF"/>
                  <w:sz w:val="16"/>
                  <w:szCs w:val="16"/>
                  <w:u w:val="single"/>
                  <w:lang w:val="en-US" w:eastAsia="en-US"/>
                </w:rPr>
                <w:t>R2-2207122</w:t>
              </w:r>
            </w:hyperlink>
          </w:p>
        </w:tc>
        <w:tc>
          <w:tcPr>
            <w:tcW w:w="6400" w:type="dxa"/>
            <w:tcBorders>
              <w:top w:val="nil"/>
              <w:left w:val="nil"/>
              <w:bottom w:val="single" w:sz="4" w:space="0" w:color="A6A6A6"/>
              <w:right w:val="single" w:sz="4" w:space="0" w:color="A6A6A6"/>
            </w:tcBorders>
            <w:shd w:val="clear" w:color="auto" w:fill="auto"/>
            <w:hideMark/>
          </w:tcPr>
          <w:p w14:paraId="309D5BD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Migration and PCI handling of mobile IAB-node</w:t>
            </w:r>
          </w:p>
        </w:tc>
        <w:tc>
          <w:tcPr>
            <w:tcW w:w="1900" w:type="dxa"/>
            <w:tcBorders>
              <w:top w:val="nil"/>
              <w:left w:val="nil"/>
              <w:bottom w:val="single" w:sz="4" w:space="0" w:color="A6A6A6"/>
              <w:right w:val="single" w:sz="4" w:space="0" w:color="A6A6A6"/>
            </w:tcBorders>
            <w:shd w:val="clear" w:color="auto" w:fill="auto"/>
            <w:hideMark/>
          </w:tcPr>
          <w:p w14:paraId="1FD9F72B"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Intel Corporation</w:t>
            </w:r>
          </w:p>
        </w:tc>
      </w:tr>
      <w:tr w:rsidR="008340B9" w:rsidRPr="008340B9" w14:paraId="321D4281" w14:textId="77777777" w:rsidTr="008340B9">
        <w:trPr>
          <w:trHeight w:val="900"/>
        </w:trPr>
        <w:tc>
          <w:tcPr>
            <w:tcW w:w="1400" w:type="dxa"/>
            <w:tcBorders>
              <w:top w:val="nil"/>
              <w:left w:val="single" w:sz="4" w:space="0" w:color="A6A6A6"/>
              <w:bottom w:val="single" w:sz="4" w:space="0" w:color="A6A6A6"/>
              <w:right w:val="single" w:sz="4" w:space="0" w:color="A6A6A6"/>
            </w:tcBorders>
            <w:shd w:val="clear" w:color="auto" w:fill="auto"/>
            <w:hideMark/>
          </w:tcPr>
          <w:p w14:paraId="7F90AA49"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008340B9" w:rsidRPr="008340B9">
                <w:rPr>
                  <w:rFonts w:ascii="Arial" w:hAnsi="Arial" w:cs="Arial"/>
                  <w:b/>
                  <w:bCs/>
                  <w:color w:val="0000FF"/>
                  <w:sz w:val="16"/>
                  <w:szCs w:val="16"/>
                  <w:u w:val="single"/>
                  <w:lang w:val="en-US" w:eastAsia="en-US"/>
                </w:rPr>
                <w:t>R2-2207124</w:t>
              </w:r>
            </w:hyperlink>
          </w:p>
        </w:tc>
        <w:tc>
          <w:tcPr>
            <w:tcW w:w="6400" w:type="dxa"/>
            <w:tcBorders>
              <w:top w:val="nil"/>
              <w:left w:val="nil"/>
              <w:bottom w:val="single" w:sz="4" w:space="0" w:color="A6A6A6"/>
              <w:right w:val="single" w:sz="4" w:space="0" w:color="A6A6A6"/>
            </w:tcBorders>
            <w:shd w:val="clear" w:color="auto" w:fill="auto"/>
            <w:hideMark/>
          </w:tcPr>
          <w:p w14:paraId="6BE1A409"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multi-hop scenario for mobile IAB-node</w:t>
            </w:r>
          </w:p>
        </w:tc>
        <w:tc>
          <w:tcPr>
            <w:tcW w:w="1900" w:type="dxa"/>
            <w:tcBorders>
              <w:top w:val="nil"/>
              <w:left w:val="nil"/>
              <w:bottom w:val="single" w:sz="4" w:space="0" w:color="A6A6A6"/>
              <w:right w:val="single" w:sz="4" w:space="0" w:color="A6A6A6"/>
            </w:tcBorders>
            <w:shd w:val="clear" w:color="auto" w:fill="auto"/>
            <w:hideMark/>
          </w:tcPr>
          <w:p w14:paraId="4A5ECE4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Intel Corporation, Qualcomm, Huawei, Ericsson, Nokia, InterDigital</w:t>
            </w:r>
          </w:p>
        </w:tc>
      </w:tr>
      <w:tr w:rsidR="008340B9" w:rsidRPr="008340B9" w14:paraId="6F54C850"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278D233C"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8340B9" w:rsidRPr="008340B9">
                <w:rPr>
                  <w:rFonts w:ascii="Arial" w:hAnsi="Arial" w:cs="Arial"/>
                  <w:b/>
                  <w:bCs/>
                  <w:color w:val="0000FF"/>
                  <w:sz w:val="16"/>
                  <w:szCs w:val="16"/>
                  <w:u w:val="single"/>
                  <w:lang w:val="en-US" w:eastAsia="en-US"/>
                </w:rPr>
                <w:t>R2-2207128</w:t>
              </w:r>
            </w:hyperlink>
          </w:p>
        </w:tc>
        <w:tc>
          <w:tcPr>
            <w:tcW w:w="6400" w:type="dxa"/>
            <w:tcBorders>
              <w:top w:val="nil"/>
              <w:left w:val="nil"/>
              <w:bottom w:val="single" w:sz="4" w:space="0" w:color="A6A6A6"/>
              <w:right w:val="single" w:sz="4" w:space="0" w:color="A6A6A6"/>
            </w:tcBorders>
            <w:shd w:val="clear" w:color="auto" w:fill="auto"/>
            <w:hideMark/>
          </w:tcPr>
          <w:p w14:paraId="6C8D7C80"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Mobile IAB mobility enhancement</w:t>
            </w:r>
          </w:p>
        </w:tc>
        <w:tc>
          <w:tcPr>
            <w:tcW w:w="1900" w:type="dxa"/>
            <w:tcBorders>
              <w:top w:val="nil"/>
              <w:left w:val="nil"/>
              <w:bottom w:val="single" w:sz="4" w:space="0" w:color="A6A6A6"/>
              <w:right w:val="single" w:sz="4" w:space="0" w:color="A6A6A6"/>
            </w:tcBorders>
            <w:shd w:val="clear" w:color="auto" w:fill="auto"/>
            <w:hideMark/>
          </w:tcPr>
          <w:p w14:paraId="0AEE3430"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Huawei, HiSilicon</w:t>
            </w:r>
          </w:p>
        </w:tc>
      </w:tr>
      <w:tr w:rsidR="008340B9" w:rsidRPr="008340B9" w14:paraId="4B289491"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22958BB7"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8340B9" w:rsidRPr="008340B9">
                <w:rPr>
                  <w:rFonts w:ascii="Arial" w:hAnsi="Arial" w:cs="Arial"/>
                  <w:b/>
                  <w:bCs/>
                  <w:color w:val="0000FF"/>
                  <w:sz w:val="16"/>
                  <w:szCs w:val="16"/>
                  <w:u w:val="single"/>
                  <w:lang w:val="en-US" w:eastAsia="en-US"/>
                </w:rPr>
                <w:t>R2-2207129</w:t>
              </w:r>
            </w:hyperlink>
          </w:p>
        </w:tc>
        <w:tc>
          <w:tcPr>
            <w:tcW w:w="6400" w:type="dxa"/>
            <w:tcBorders>
              <w:top w:val="nil"/>
              <w:left w:val="nil"/>
              <w:bottom w:val="single" w:sz="4" w:space="0" w:color="A6A6A6"/>
              <w:right w:val="single" w:sz="4" w:space="0" w:color="A6A6A6"/>
            </w:tcBorders>
            <w:shd w:val="clear" w:color="auto" w:fill="auto"/>
            <w:hideMark/>
          </w:tcPr>
          <w:p w14:paraId="5E1DBFA0"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Full migration and interference mitigation</w:t>
            </w:r>
          </w:p>
        </w:tc>
        <w:tc>
          <w:tcPr>
            <w:tcW w:w="1900" w:type="dxa"/>
            <w:tcBorders>
              <w:top w:val="nil"/>
              <w:left w:val="nil"/>
              <w:bottom w:val="single" w:sz="4" w:space="0" w:color="A6A6A6"/>
              <w:right w:val="single" w:sz="4" w:space="0" w:color="A6A6A6"/>
            </w:tcBorders>
            <w:shd w:val="clear" w:color="auto" w:fill="auto"/>
            <w:hideMark/>
          </w:tcPr>
          <w:p w14:paraId="364D364A"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Huawei, HiSilicon</w:t>
            </w:r>
          </w:p>
        </w:tc>
      </w:tr>
      <w:tr w:rsidR="008340B9" w:rsidRPr="008340B9" w14:paraId="5E81C175"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6ED856CA"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8340B9" w:rsidRPr="008340B9">
                <w:rPr>
                  <w:rFonts w:ascii="Arial" w:hAnsi="Arial" w:cs="Arial"/>
                  <w:b/>
                  <w:bCs/>
                  <w:color w:val="0000FF"/>
                  <w:sz w:val="16"/>
                  <w:szCs w:val="16"/>
                  <w:u w:val="single"/>
                  <w:lang w:val="en-US" w:eastAsia="en-US"/>
                </w:rPr>
                <w:t>R2-2207185</w:t>
              </w:r>
            </w:hyperlink>
          </w:p>
        </w:tc>
        <w:tc>
          <w:tcPr>
            <w:tcW w:w="6400" w:type="dxa"/>
            <w:tcBorders>
              <w:top w:val="nil"/>
              <w:left w:val="nil"/>
              <w:bottom w:val="single" w:sz="4" w:space="0" w:color="A6A6A6"/>
              <w:right w:val="single" w:sz="4" w:space="0" w:color="A6A6A6"/>
            </w:tcBorders>
            <w:shd w:val="clear" w:color="auto" w:fill="auto"/>
            <w:hideMark/>
          </w:tcPr>
          <w:p w14:paraId="7C867499"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topology adaptation in mobile IAB scenario</w:t>
            </w:r>
          </w:p>
        </w:tc>
        <w:tc>
          <w:tcPr>
            <w:tcW w:w="1900" w:type="dxa"/>
            <w:tcBorders>
              <w:top w:val="nil"/>
              <w:left w:val="nil"/>
              <w:bottom w:val="single" w:sz="4" w:space="0" w:color="A6A6A6"/>
              <w:right w:val="single" w:sz="4" w:space="0" w:color="A6A6A6"/>
            </w:tcBorders>
            <w:shd w:val="clear" w:color="auto" w:fill="auto"/>
            <w:hideMark/>
          </w:tcPr>
          <w:p w14:paraId="4D33FD1B"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ZTE, Sanechips</w:t>
            </w:r>
          </w:p>
        </w:tc>
      </w:tr>
      <w:tr w:rsidR="008340B9" w:rsidRPr="008340B9" w14:paraId="2B9EBD48"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32E79EBD"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8340B9" w:rsidRPr="008340B9">
                <w:rPr>
                  <w:rFonts w:ascii="Arial" w:hAnsi="Arial" w:cs="Arial"/>
                  <w:b/>
                  <w:bCs/>
                  <w:color w:val="0000FF"/>
                  <w:sz w:val="16"/>
                  <w:szCs w:val="16"/>
                  <w:u w:val="single"/>
                  <w:lang w:val="en-US" w:eastAsia="en-US"/>
                </w:rPr>
                <w:t>R2-2207186</w:t>
              </w:r>
            </w:hyperlink>
          </w:p>
        </w:tc>
        <w:tc>
          <w:tcPr>
            <w:tcW w:w="6400" w:type="dxa"/>
            <w:tcBorders>
              <w:top w:val="nil"/>
              <w:left w:val="nil"/>
              <w:bottom w:val="single" w:sz="4" w:space="0" w:color="A6A6A6"/>
              <w:right w:val="single" w:sz="4" w:space="0" w:color="A6A6A6"/>
            </w:tcBorders>
            <w:shd w:val="clear" w:color="auto" w:fill="auto"/>
            <w:hideMark/>
          </w:tcPr>
          <w:p w14:paraId="7AC18E73"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group mobility of UEs served by mobile IAB</w:t>
            </w:r>
          </w:p>
        </w:tc>
        <w:tc>
          <w:tcPr>
            <w:tcW w:w="1900" w:type="dxa"/>
            <w:tcBorders>
              <w:top w:val="nil"/>
              <w:left w:val="nil"/>
              <w:bottom w:val="single" w:sz="4" w:space="0" w:color="A6A6A6"/>
              <w:right w:val="single" w:sz="4" w:space="0" w:color="A6A6A6"/>
            </w:tcBorders>
            <w:shd w:val="clear" w:color="auto" w:fill="auto"/>
            <w:hideMark/>
          </w:tcPr>
          <w:p w14:paraId="6E82D127"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ZTE, Sanechips</w:t>
            </w:r>
          </w:p>
        </w:tc>
      </w:tr>
      <w:tr w:rsidR="008340B9" w:rsidRPr="008340B9" w14:paraId="192E1E9C" w14:textId="77777777" w:rsidTr="008340B9">
        <w:trPr>
          <w:trHeight w:val="450"/>
        </w:trPr>
        <w:tc>
          <w:tcPr>
            <w:tcW w:w="1400" w:type="dxa"/>
            <w:tcBorders>
              <w:top w:val="nil"/>
              <w:left w:val="single" w:sz="4" w:space="0" w:color="A6A6A6"/>
              <w:bottom w:val="single" w:sz="4" w:space="0" w:color="A6A6A6"/>
              <w:right w:val="single" w:sz="4" w:space="0" w:color="A6A6A6"/>
            </w:tcBorders>
            <w:shd w:val="clear" w:color="auto" w:fill="auto"/>
            <w:hideMark/>
          </w:tcPr>
          <w:p w14:paraId="03D02D3B"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8340B9" w:rsidRPr="008340B9">
                <w:rPr>
                  <w:rFonts w:ascii="Arial" w:hAnsi="Arial" w:cs="Arial"/>
                  <w:b/>
                  <w:bCs/>
                  <w:color w:val="0000FF"/>
                  <w:sz w:val="16"/>
                  <w:szCs w:val="16"/>
                  <w:u w:val="single"/>
                  <w:lang w:val="en-US" w:eastAsia="en-US"/>
                </w:rPr>
                <w:t>R2-2207282</w:t>
              </w:r>
            </w:hyperlink>
          </w:p>
        </w:tc>
        <w:tc>
          <w:tcPr>
            <w:tcW w:w="6400" w:type="dxa"/>
            <w:tcBorders>
              <w:top w:val="nil"/>
              <w:left w:val="nil"/>
              <w:bottom w:val="single" w:sz="4" w:space="0" w:color="A6A6A6"/>
              <w:right w:val="single" w:sz="4" w:space="0" w:color="A6A6A6"/>
            </w:tcBorders>
            <w:shd w:val="clear" w:color="auto" w:fill="auto"/>
            <w:hideMark/>
          </w:tcPr>
          <w:p w14:paraId="6463DB24"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Workplan for Rel-18 mobile IAB</w:t>
            </w:r>
          </w:p>
        </w:tc>
        <w:tc>
          <w:tcPr>
            <w:tcW w:w="1900" w:type="dxa"/>
            <w:tcBorders>
              <w:top w:val="nil"/>
              <w:left w:val="nil"/>
              <w:bottom w:val="single" w:sz="4" w:space="0" w:color="A6A6A6"/>
              <w:right w:val="single" w:sz="4" w:space="0" w:color="A6A6A6"/>
            </w:tcBorders>
            <w:shd w:val="clear" w:color="auto" w:fill="auto"/>
            <w:hideMark/>
          </w:tcPr>
          <w:p w14:paraId="65DAE272"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Qualcomm Inc. (Rapporteur)</w:t>
            </w:r>
          </w:p>
        </w:tc>
      </w:tr>
      <w:tr w:rsidR="008340B9" w:rsidRPr="008340B9" w14:paraId="7652C7ED"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19590F6E"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8340B9" w:rsidRPr="008340B9">
                <w:rPr>
                  <w:rFonts w:ascii="Arial" w:hAnsi="Arial" w:cs="Arial"/>
                  <w:b/>
                  <w:bCs/>
                  <w:color w:val="0000FF"/>
                  <w:sz w:val="16"/>
                  <w:szCs w:val="16"/>
                  <w:u w:val="single"/>
                  <w:lang w:val="en-US" w:eastAsia="en-US"/>
                </w:rPr>
                <w:t>R2-2207283</w:t>
              </w:r>
            </w:hyperlink>
          </w:p>
        </w:tc>
        <w:tc>
          <w:tcPr>
            <w:tcW w:w="6400" w:type="dxa"/>
            <w:tcBorders>
              <w:top w:val="nil"/>
              <w:left w:val="nil"/>
              <w:bottom w:val="single" w:sz="4" w:space="0" w:color="A6A6A6"/>
              <w:right w:val="single" w:sz="4" w:space="0" w:color="A6A6A6"/>
            </w:tcBorders>
            <w:shd w:val="clear" w:color="auto" w:fill="auto"/>
            <w:hideMark/>
          </w:tcPr>
          <w:p w14:paraId="08B1B0C0"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Enhancements for IAB-node mobility</w:t>
            </w:r>
          </w:p>
        </w:tc>
        <w:tc>
          <w:tcPr>
            <w:tcW w:w="1900" w:type="dxa"/>
            <w:tcBorders>
              <w:top w:val="nil"/>
              <w:left w:val="nil"/>
              <w:bottom w:val="single" w:sz="4" w:space="0" w:color="A6A6A6"/>
              <w:right w:val="single" w:sz="4" w:space="0" w:color="A6A6A6"/>
            </w:tcBorders>
            <w:shd w:val="clear" w:color="auto" w:fill="auto"/>
            <w:hideMark/>
          </w:tcPr>
          <w:p w14:paraId="23D67BA9"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Qualcomm Inc.</w:t>
            </w:r>
          </w:p>
        </w:tc>
      </w:tr>
      <w:tr w:rsidR="008340B9" w:rsidRPr="008340B9" w14:paraId="4018AC93"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60CCBE84"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8340B9" w:rsidRPr="008340B9">
                <w:rPr>
                  <w:rFonts w:ascii="Arial" w:hAnsi="Arial" w:cs="Arial"/>
                  <w:b/>
                  <w:bCs/>
                  <w:color w:val="0000FF"/>
                  <w:sz w:val="16"/>
                  <w:szCs w:val="16"/>
                  <w:u w:val="single"/>
                  <w:lang w:val="en-US" w:eastAsia="en-US"/>
                </w:rPr>
                <w:t>R2-2207284</w:t>
              </w:r>
            </w:hyperlink>
          </w:p>
        </w:tc>
        <w:tc>
          <w:tcPr>
            <w:tcW w:w="6400" w:type="dxa"/>
            <w:tcBorders>
              <w:top w:val="nil"/>
              <w:left w:val="nil"/>
              <w:bottom w:val="single" w:sz="4" w:space="0" w:color="A6A6A6"/>
              <w:right w:val="single" w:sz="4" w:space="0" w:color="A6A6A6"/>
            </w:tcBorders>
            <w:shd w:val="clear" w:color="auto" w:fill="auto"/>
            <w:hideMark/>
          </w:tcPr>
          <w:p w14:paraId="29B5ABB1"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Other enhancements for mobile IAB</w:t>
            </w:r>
          </w:p>
        </w:tc>
        <w:tc>
          <w:tcPr>
            <w:tcW w:w="1900" w:type="dxa"/>
            <w:tcBorders>
              <w:top w:val="nil"/>
              <w:left w:val="nil"/>
              <w:bottom w:val="single" w:sz="4" w:space="0" w:color="A6A6A6"/>
              <w:right w:val="single" w:sz="4" w:space="0" w:color="A6A6A6"/>
            </w:tcBorders>
            <w:shd w:val="clear" w:color="auto" w:fill="auto"/>
            <w:hideMark/>
          </w:tcPr>
          <w:p w14:paraId="398861B2"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Qualcomm Inc.</w:t>
            </w:r>
          </w:p>
        </w:tc>
      </w:tr>
      <w:tr w:rsidR="008340B9" w:rsidRPr="008340B9" w14:paraId="4793631A"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0DA1651D"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8340B9" w:rsidRPr="008340B9">
                <w:rPr>
                  <w:rFonts w:ascii="Arial" w:hAnsi="Arial" w:cs="Arial"/>
                  <w:b/>
                  <w:bCs/>
                  <w:color w:val="0000FF"/>
                  <w:sz w:val="16"/>
                  <w:szCs w:val="16"/>
                  <w:u w:val="single"/>
                  <w:lang w:val="en-US" w:eastAsia="en-US"/>
                </w:rPr>
                <w:t>R2-2207421</w:t>
              </w:r>
            </w:hyperlink>
          </w:p>
        </w:tc>
        <w:tc>
          <w:tcPr>
            <w:tcW w:w="6400" w:type="dxa"/>
            <w:tcBorders>
              <w:top w:val="nil"/>
              <w:left w:val="nil"/>
              <w:bottom w:val="single" w:sz="4" w:space="0" w:color="A6A6A6"/>
              <w:right w:val="single" w:sz="4" w:space="0" w:color="A6A6A6"/>
            </w:tcBorders>
            <w:shd w:val="clear" w:color="auto" w:fill="auto"/>
            <w:hideMark/>
          </w:tcPr>
          <w:p w14:paraId="03B0B79F"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mobility enhancement in mobile IAB</w:t>
            </w:r>
          </w:p>
        </w:tc>
        <w:tc>
          <w:tcPr>
            <w:tcW w:w="1900" w:type="dxa"/>
            <w:tcBorders>
              <w:top w:val="nil"/>
              <w:left w:val="nil"/>
              <w:bottom w:val="single" w:sz="4" w:space="0" w:color="A6A6A6"/>
              <w:right w:val="single" w:sz="4" w:space="0" w:color="A6A6A6"/>
            </w:tcBorders>
            <w:shd w:val="clear" w:color="auto" w:fill="auto"/>
            <w:hideMark/>
          </w:tcPr>
          <w:p w14:paraId="2D80F713"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Apple</w:t>
            </w:r>
          </w:p>
        </w:tc>
      </w:tr>
      <w:tr w:rsidR="008340B9" w:rsidRPr="008340B9" w14:paraId="1A63C24A" w14:textId="77777777" w:rsidTr="008340B9">
        <w:trPr>
          <w:trHeight w:val="450"/>
        </w:trPr>
        <w:tc>
          <w:tcPr>
            <w:tcW w:w="1400" w:type="dxa"/>
            <w:tcBorders>
              <w:top w:val="nil"/>
              <w:left w:val="single" w:sz="4" w:space="0" w:color="A6A6A6"/>
              <w:bottom w:val="single" w:sz="4" w:space="0" w:color="A6A6A6"/>
              <w:right w:val="single" w:sz="4" w:space="0" w:color="A6A6A6"/>
            </w:tcBorders>
            <w:shd w:val="clear" w:color="auto" w:fill="auto"/>
            <w:hideMark/>
          </w:tcPr>
          <w:p w14:paraId="7C4DB60E"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8340B9" w:rsidRPr="008340B9">
                <w:rPr>
                  <w:rFonts w:ascii="Arial" w:hAnsi="Arial" w:cs="Arial"/>
                  <w:b/>
                  <w:bCs/>
                  <w:color w:val="0000FF"/>
                  <w:sz w:val="16"/>
                  <w:szCs w:val="16"/>
                  <w:u w:val="single"/>
                  <w:lang w:val="en-US" w:eastAsia="en-US"/>
                </w:rPr>
                <w:t>R2-2207422</w:t>
              </w:r>
            </w:hyperlink>
          </w:p>
        </w:tc>
        <w:tc>
          <w:tcPr>
            <w:tcW w:w="6400" w:type="dxa"/>
            <w:tcBorders>
              <w:top w:val="nil"/>
              <w:left w:val="nil"/>
              <w:bottom w:val="single" w:sz="4" w:space="0" w:color="A6A6A6"/>
              <w:right w:val="single" w:sz="4" w:space="0" w:color="A6A6A6"/>
            </w:tcBorders>
            <w:shd w:val="clear" w:color="auto" w:fill="auto"/>
            <w:hideMark/>
          </w:tcPr>
          <w:p w14:paraId="4C4E4094"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RAN2 aspects of inter-donor full migration and mitigation of interference in mobile IAB</w:t>
            </w:r>
          </w:p>
        </w:tc>
        <w:tc>
          <w:tcPr>
            <w:tcW w:w="1900" w:type="dxa"/>
            <w:tcBorders>
              <w:top w:val="nil"/>
              <w:left w:val="nil"/>
              <w:bottom w:val="single" w:sz="4" w:space="0" w:color="A6A6A6"/>
              <w:right w:val="single" w:sz="4" w:space="0" w:color="A6A6A6"/>
            </w:tcBorders>
            <w:shd w:val="clear" w:color="auto" w:fill="auto"/>
            <w:hideMark/>
          </w:tcPr>
          <w:p w14:paraId="71105397"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Apple</w:t>
            </w:r>
          </w:p>
        </w:tc>
      </w:tr>
      <w:tr w:rsidR="008340B9" w:rsidRPr="0055319C" w14:paraId="4AE09353" w14:textId="77777777" w:rsidTr="008340B9">
        <w:trPr>
          <w:trHeight w:val="450"/>
        </w:trPr>
        <w:tc>
          <w:tcPr>
            <w:tcW w:w="1400" w:type="dxa"/>
            <w:tcBorders>
              <w:top w:val="nil"/>
              <w:left w:val="single" w:sz="4" w:space="0" w:color="A6A6A6"/>
              <w:bottom w:val="single" w:sz="4" w:space="0" w:color="A6A6A6"/>
              <w:right w:val="single" w:sz="4" w:space="0" w:color="A6A6A6"/>
            </w:tcBorders>
            <w:shd w:val="clear" w:color="auto" w:fill="auto"/>
            <w:hideMark/>
          </w:tcPr>
          <w:p w14:paraId="0021633C"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008340B9" w:rsidRPr="008340B9">
                <w:rPr>
                  <w:rFonts w:ascii="Arial" w:hAnsi="Arial" w:cs="Arial"/>
                  <w:b/>
                  <w:bCs/>
                  <w:color w:val="0000FF"/>
                  <w:sz w:val="16"/>
                  <w:szCs w:val="16"/>
                  <w:u w:val="single"/>
                  <w:lang w:val="en-US" w:eastAsia="en-US"/>
                </w:rPr>
                <w:t>R2-2207627</w:t>
              </w:r>
            </w:hyperlink>
          </w:p>
        </w:tc>
        <w:tc>
          <w:tcPr>
            <w:tcW w:w="6400" w:type="dxa"/>
            <w:tcBorders>
              <w:top w:val="nil"/>
              <w:left w:val="nil"/>
              <w:bottom w:val="single" w:sz="4" w:space="0" w:color="A6A6A6"/>
              <w:right w:val="single" w:sz="4" w:space="0" w:color="A6A6A6"/>
            </w:tcBorders>
            <w:shd w:val="clear" w:color="auto" w:fill="auto"/>
            <w:hideMark/>
          </w:tcPr>
          <w:p w14:paraId="1BE899D0"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mIAB - other key issues</w:t>
            </w:r>
          </w:p>
        </w:tc>
        <w:tc>
          <w:tcPr>
            <w:tcW w:w="1900" w:type="dxa"/>
            <w:tcBorders>
              <w:top w:val="nil"/>
              <w:left w:val="nil"/>
              <w:bottom w:val="single" w:sz="4" w:space="0" w:color="A6A6A6"/>
              <w:right w:val="single" w:sz="4" w:space="0" w:color="A6A6A6"/>
            </w:tcBorders>
            <w:shd w:val="clear" w:color="auto" w:fill="auto"/>
            <w:hideMark/>
          </w:tcPr>
          <w:p w14:paraId="45619010" w14:textId="77777777" w:rsidR="008340B9" w:rsidRPr="008340B9" w:rsidRDefault="008340B9" w:rsidP="008340B9">
            <w:pPr>
              <w:overflowPunct/>
              <w:autoSpaceDE/>
              <w:autoSpaceDN/>
              <w:adjustRightInd/>
              <w:spacing w:after="0"/>
              <w:textAlignment w:val="auto"/>
              <w:rPr>
                <w:rFonts w:ascii="Arial" w:hAnsi="Arial" w:cs="Arial"/>
                <w:sz w:val="16"/>
                <w:szCs w:val="16"/>
                <w:lang w:val="de-DE" w:eastAsia="en-US"/>
              </w:rPr>
            </w:pPr>
            <w:r w:rsidRPr="008340B9">
              <w:rPr>
                <w:rFonts w:ascii="Arial" w:hAnsi="Arial" w:cs="Arial"/>
                <w:sz w:val="16"/>
                <w:szCs w:val="16"/>
                <w:lang w:val="de-DE" w:eastAsia="en-US"/>
              </w:rPr>
              <w:t>Samsung R&amp;D Institute UK</w:t>
            </w:r>
          </w:p>
        </w:tc>
      </w:tr>
      <w:tr w:rsidR="008340B9" w:rsidRPr="008340B9" w14:paraId="509F0031"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2480A501"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r>
              <w:fldChar w:fldCharType="begin"/>
            </w:r>
            <w:r>
              <w:instrText xml:space="preserve"> HYPERLINK "https://www.3gpp.org/ftp/TSG_RAN/WG2_RL2/TSGR2_119-e/Docs/R2-2207708.zip" </w:instrText>
            </w:r>
            <w:r>
              <w:fldChar w:fldCharType="separate"/>
            </w:r>
            <w:r w:rsidR="008340B9" w:rsidRPr="008340B9">
              <w:rPr>
                <w:rFonts w:ascii="Arial" w:hAnsi="Arial" w:cs="Arial"/>
                <w:b/>
                <w:bCs/>
                <w:color w:val="0000FF"/>
                <w:sz w:val="16"/>
                <w:szCs w:val="16"/>
                <w:u w:val="single"/>
                <w:lang w:val="en-US" w:eastAsia="en-US"/>
              </w:rPr>
              <w:t>R2-2207708</w:t>
            </w:r>
            <w:r>
              <w:rPr>
                <w:rFonts w:ascii="Arial" w:hAnsi="Arial" w:cs="Arial"/>
                <w:b/>
                <w:bCs/>
                <w:color w:val="0000FF"/>
                <w:sz w:val="16"/>
                <w:szCs w:val="16"/>
                <w:u w:val="single"/>
                <w:lang w:val="en-US" w:eastAsia="en-US"/>
              </w:rPr>
              <w:fldChar w:fldCharType="end"/>
            </w:r>
          </w:p>
        </w:tc>
        <w:tc>
          <w:tcPr>
            <w:tcW w:w="6400" w:type="dxa"/>
            <w:tcBorders>
              <w:top w:val="nil"/>
              <w:left w:val="nil"/>
              <w:bottom w:val="single" w:sz="4" w:space="0" w:color="A6A6A6"/>
              <w:right w:val="single" w:sz="4" w:space="0" w:color="A6A6A6"/>
            </w:tcBorders>
            <w:shd w:val="clear" w:color="auto" w:fill="auto"/>
            <w:hideMark/>
          </w:tcPr>
          <w:p w14:paraId="7646E6A2"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Mobility enhancements for mobile IAB-node and its served UE</w:t>
            </w:r>
          </w:p>
        </w:tc>
        <w:tc>
          <w:tcPr>
            <w:tcW w:w="1900" w:type="dxa"/>
            <w:tcBorders>
              <w:top w:val="nil"/>
              <w:left w:val="nil"/>
              <w:bottom w:val="single" w:sz="4" w:space="0" w:color="A6A6A6"/>
              <w:right w:val="single" w:sz="4" w:space="0" w:color="A6A6A6"/>
            </w:tcBorders>
            <w:shd w:val="clear" w:color="auto" w:fill="auto"/>
            <w:hideMark/>
          </w:tcPr>
          <w:p w14:paraId="190ADBC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Lenovo</w:t>
            </w:r>
          </w:p>
        </w:tc>
      </w:tr>
      <w:tr w:rsidR="008340B9" w:rsidRPr="008340B9" w14:paraId="58F4B7C9"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7ED744E5"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8340B9" w:rsidRPr="008340B9">
                <w:rPr>
                  <w:rFonts w:ascii="Arial" w:hAnsi="Arial" w:cs="Arial"/>
                  <w:b/>
                  <w:bCs/>
                  <w:color w:val="0000FF"/>
                  <w:sz w:val="16"/>
                  <w:szCs w:val="16"/>
                  <w:u w:val="single"/>
                  <w:lang w:val="en-US" w:eastAsia="en-US"/>
                </w:rPr>
                <w:t>R2-2207709</w:t>
              </w:r>
            </w:hyperlink>
          </w:p>
        </w:tc>
        <w:tc>
          <w:tcPr>
            <w:tcW w:w="6400" w:type="dxa"/>
            <w:tcBorders>
              <w:top w:val="nil"/>
              <w:left w:val="nil"/>
              <w:bottom w:val="single" w:sz="4" w:space="0" w:color="A6A6A6"/>
              <w:right w:val="single" w:sz="4" w:space="0" w:color="A6A6A6"/>
            </w:tcBorders>
            <w:shd w:val="clear" w:color="auto" w:fill="auto"/>
            <w:hideMark/>
          </w:tcPr>
          <w:p w14:paraId="237AF104"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inter-donor full migration of mobile IAB</w:t>
            </w:r>
          </w:p>
        </w:tc>
        <w:tc>
          <w:tcPr>
            <w:tcW w:w="1900" w:type="dxa"/>
            <w:tcBorders>
              <w:top w:val="nil"/>
              <w:left w:val="nil"/>
              <w:bottom w:val="single" w:sz="4" w:space="0" w:color="A6A6A6"/>
              <w:right w:val="single" w:sz="4" w:space="0" w:color="A6A6A6"/>
            </w:tcBorders>
            <w:shd w:val="clear" w:color="auto" w:fill="auto"/>
            <w:hideMark/>
          </w:tcPr>
          <w:p w14:paraId="3E7CE89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Lenovo</w:t>
            </w:r>
          </w:p>
        </w:tc>
      </w:tr>
      <w:tr w:rsidR="008340B9" w:rsidRPr="0055319C" w14:paraId="630BB800" w14:textId="77777777" w:rsidTr="008340B9">
        <w:trPr>
          <w:trHeight w:val="450"/>
        </w:trPr>
        <w:tc>
          <w:tcPr>
            <w:tcW w:w="1400" w:type="dxa"/>
            <w:tcBorders>
              <w:top w:val="nil"/>
              <w:left w:val="single" w:sz="4" w:space="0" w:color="A6A6A6"/>
              <w:bottom w:val="single" w:sz="4" w:space="0" w:color="A6A6A6"/>
              <w:right w:val="single" w:sz="4" w:space="0" w:color="A6A6A6"/>
            </w:tcBorders>
            <w:shd w:val="clear" w:color="auto" w:fill="auto"/>
            <w:hideMark/>
          </w:tcPr>
          <w:p w14:paraId="3F3B7150"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8340B9" w:rsidRPr="008340B9">
                <w:rPr>
                  <w:rFonts w:ascii="Arial" w:hAnsi="Arial" w:cs="Arial"/>
                  <w:b/>
                  <w:bCs/>
                  <w:color w:val="0000FF"/>
                  <w:sz w:val="16"/>
                  <w:szCs w:val="16"/>
                  <w:u w:val="single"/>
                  <w:lang w:val="en-US" w:eastAsia="en-US"/>
                </w:rPr>
                <w:t>R2-2207816</w:t>
              </w:r>
            </w:hyperlink>
          </w:p>
        </w:tc>
        <w:tc>
          <w:tcPr>
            <w:tcW w:w="6400" w:type="dxa"/>
            <w:tcBorders>
              <w:top w:val="nil"/>
              <w:left w:val="nil"/>
              <w:bottom w:val="single" w:sz="4" w:space="0" w:color="A6A6A6"/>
              <w:right w:val="single" w:sz="4" w:space="0" w:color="A6A6A6"/>
            </w:tcBorders>
            <w:shd w:val="clear" w:color="auto" w:fill="auto"/>
            <w:hideMark/>
          </w:tcPr>
          <w:p w14:paraId="6676D4F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the enhancement of IAB node mobility</w:t>
            </w:r>
          </w:p>
        </w:tc>
        <w:tc>
          <w:tcPr>
            <w:tcW w:w="1900" w:type="dxa"/>
            <w:tcBorders>
              <w:top w:val="nil"/>
              <w:left w:val="nil"/>
              <w:bottom w:val="single" w:sz="4" w:space="0" w:color="A6A6A6"/>
              <w:right w:val="single" w:sz="4" w:space="0" w:color="A6A6A6"/>
            </w:tcBorders>
            <w:shd w:val="clear" w:color="auto" w:fill="auto"/>
            <w:hideMark/>
          </w:tcPr>
          <w:p w14:paraId="77D5E053" w14:textId="77777777" w:rsidR="008340B9" w:rsidRPr="008340B9" w:rsidRDefault="008340B9" w:rsidP="008340B9">
            <w:pPr>
              <w:overflowPunct/>
              <w:autoSpaceDE/>
              <w:autoSpaceDN/>
              <w:adjustRightInd/>
              <w:spacing w:after="0"/>
              <w:textAlignment w:val="auto"/>
              <w:rPr>
                <w:rFonts w:ascii="Arial" w:hAnsi="Arial" w:cs="Arial"/>
                <w:sz w:val="16"/>
                <w:szCs w:val="16"/>
                <w:lang w:val="de-DE" w:eastAsia="en-US"/>
              </w:rPr>
            </w:pPr>
            <w:r w:rsidRPr="008340B9">
              <w:rPr>
                <w:rFonts w:ascii="Arial" w:hAnsi="Arial" w:cs="Arial"/>
                <w:sz w:val="16"/>
                <w:szCs w:val="16"/>
                <w:lang w:val="de-DE" w:eastAsia="en-US"/>
              </w:rPr>
              <w:t>Samsung R&amp;D Institute UK</w:t>
            </w:r>
          </w:p>
        </w:tc>
      </w:tr>
      <w:tr w:rsidR="008340B9" w:rsidRPr="008340B9" w14:paraId="1B153B7A"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539ECEE9"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r>
              <w:fldChar w:fldCharType="begin"/>
            </w:r>
            <w:r>
              <w:instrText xml:space="preserve"> HYPERLINK "https://www.3gpp.org/ftp/TSG_RAN/WG2_RL2/TSGR2_119-e/Docs/R2-2207826.zip" </w:instrText>
            </w:r>
            <w:r>
              <w:fldChar w:fldCharType="separate"/>
            </w:r>
            <w:r w:rsidR="008340B9" w:rsidRPr="008340B9">
              <w:rPr>
                <w:rFonts w:ascii="Arial" w:hAnsi="Arial" w:cs="Arial"/>
                <w:b/>
                <w:bCs/>
                <w:color w:val="0000FF"/>
                <w:sz w:val="16"/>
                <w:szCs w:val="16"/>
                <w:u w:val="single"/>
                <w:lang w:val="en-US" w:eastAsia="en-US"/>
              </w:rPr>
              <w:t>R2-2207826</w:t>
            </w:r>
            <w:r>
              <w:rPr>
                <w:rFonts w:ascii="Arial" w:hAnsi="Arial" w:cs="Arial"/>
                <w:b/>
                <w:bCs/>
                <w:color w:val="0000FF"/>
                <w:sz w:val="16"/>
                <w:szCs w:val="16"/>
                <w:u w:val="single"/>
                <w:lang w:val="en-US" w:eastAsia="en-US"/>
              </w:rPr>
              <w:fldChar w:fldCharType="end"/>
            </w:r>
          </w:p>
        </w:tc>
        <w:tc>
          <w:tcPr>
            <w:tcW w:w="6400" w:type="dxa"/>
            <w:tcBorders>
              <w:top w:val="nil"/>
              <w:left w:val="nil"/>
              <w:bottom w:val="single" w:sz="4" w:space="0" w:color="A6A6A6"/>
              <w:right w:val="single" w:sz="4" w:space="0" w:color="A6A6A6"/>
            </w:tcBorders>
            <w:shd w:val="clear" w:color="auto" w:fill="auto"/>
            <w:hideMark/>
          </w:tcPr>
          <w:p w14:paraId="0E74A49A"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Mobility enhancement for mobile IAB</w:t>
            </w:r>
          </w:p>
        </w:tc>
        <w:tc>
          <w:tcPr>
            <w:tcW w:w="1900" w:type="dxa"/>
            <w:tcBorders>
              <w:top w:val="nil"/>
              <w:left w:val="nil"/>
              <w:bottom w:val="single" w:sz="4" w:space="0" w:color="A6A6A6"/>
              <w:right w:val="single" w:sz="4" w:space="0" w:color="A6A6A6"/>
            </w:tcBorders>
            <w:shd w:val="clear" w:color="auto" w:fill="auto"/>
            <w:hideMark/>
          </w:tcPr>
          <w:p w14:paraId="2BDB6743"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Sony</w:t>
            </w:r>
          </w:p>
        </w:tc>
      </w:tr>
      <w:tr w:rsidR="008340B9" w:rsidRPr="008340B9" w14:paraId="4D183335"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18976B66"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008340B9" w:rsidRPr="008340B9">
                <w:rPr>
                  <w:rFonts w:ascii="Arial" w:hAnsi="Arial" w:cs="Arial"/>
                  <w:b/>
                  <w:bCs/>
                  <w:color w:val="0000FF"/>
                  <w:sz w:val="16"/>
                  <w:szCs w:val="16"/>
                  <w:u w:val="single"/>
                  <w:lang w:val="en-US" w:eastAsia="en-US"/>
                </w:rPr>
                <w:t>R2-2207827</w:t>
              </w:r>
            </w:hyperlink>
          </w:p>
        </w:tc>
        <w:tc>
          <w:tcPr>
            <w:tcW w:w="6400" w:type="dxa"/>
            <w:tcBorders>
              <w:top w:val="nil"/>
              <w:left w:val="nil"/>
              <w:bottom w:val="single" w:sz="4" w:space="0" w:color="A6A6A6"/>
              <w:right w:val="single" w:sz="4" w:space="0" w:color="A6A6A6"/>
            </w:tcBorders>
            <w:shd w:val="clear" w:color="auto" w:fill="auto"/>
            <w:hideMark/>
          </w:tcPr>
          <w:p w14:paraId="03FFE4C0"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PCI collision in mobile IAB</w:t>
            </w:r>
          </w:p>
        </w:tc>
        <w:tc>
          <w:tcPr>
            <w:tcW w:w="1900" w:type="dxa"/>
            <w:tcBorders>
              <w:top w:val="nil"/>
              <w:left w:val="nil"/>
              <w:bottom w:val="single" w:sz="4" w:space="0" w:color="A6A6A6"/>
              <w:right w:val="single" w:sz="4" w:space="0" w:color="A6A6A6"/>
            </w:tcBorders>
            <w:shd w:val="clear" w:color="auto" w:fill="auto"/>
            <w:hideMark/>
          </w:tcPr>
          <w:p w14:paraId="0AF7522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Sony</w:t>
            </w:r>
          </w:p>
        </w:tc>
      </w:tr>
      <w:tr w:rsidR="008340B9" w:rsidRPr="008340B9" w14:paraId="02CE4B9B"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34714E33"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008340B9" w:rsidRPr="008340B9">
                <w:rPr>
                  <w:rFonts w:ascii="Arial" w:hAnsi="Arial" w:cs="Arial"/>
                  <w:b/>
                  <w:bCs/>
                  <w:color w:val="0000FF"/>
                  <w:sz w:val="16"/>
                  <w:szCs w:val="16"/>
                  <w:u w:val="single"/>
                  <w:lang w:val="en-US" w:eastAsia="en-US"/>
                </w:rPr>
                <w:t>R2-2208103</w:t>
              </w:r>
            </w:hyperlink>
          </w:p>
        </w:tc>
        <w:tc>
          <w:tcPr>
            <w:tcW w:w="6400" w:type="dxa"/>
            <w:tcBorders>
              <w:top w:val="nil"/>
              <w:left w:val="nil"/>
              <w:bottom w:val="single" w:sz="4" w:space="0" w:color="A6A6A6"/>
              <w:right w:val="single" w:sz="4" w:space="0" w:color="A6A6A6"/>
            </w:tcBorders>
            <w:shd w:val="clear" w:color="auto" w:fill="auto"/>
            <w:hideMark/>
          </w:tcPr>
          <w:p w14:paraId="79D1BB1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Mobility enhancements for mIAB node</w:t>
            </w:r>
          </w:p>
        </w:tc>
        <w:tc>
          <w:tcPr>
            <w:tcW w:w="1900" w:type="dxa"/>
            <w:tcBorders>
              <w:top w:val="nil"/>
              <w:left w:val="nil"/>
              <w:bottom w:val="single" w:sz="4" w:space="0" w:color="A6A6A6"/>
              <w:right w:val="single" w:sz="4" w:space="0" w:color="A6A6A6"/>
            </w:tcBorders>
            <w:shd w:val="clear" w:color="auto" w:fill="auto"/>
            <w:hideMark/>
          </w:tcPr>
          <w:p w14:paraId="7E043766"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Ericsson</w:t>
            </w:r>
          </w:p>
        </w:tc>
      </w:tr>
      <w:tr w:rsidR="008340B9" w:rsidRPr="008340B9" w14:paraId="51C1D13E"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3F371D0D"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008340B9" w:rsidRPr="008340B9">
                <w:rPr>
                  <w:rFonts w:ascii="Arial" w:hAnsi="Arial" w:cs="Arial"/>
                  <w:b/>
                  <w:bCs/>
                  <w:color w:val="0000FF"/>
                  <w:sz w:val="16"/>
                  <w:szCs w:val="16"/>
                  <w:u w:val="single"/>
                  <w:lang w:val="en-US" w:eastAsia="en-US"/>
                </w:rPr>
                <w:t>R2-2208104</w:t>
              </w:r>
            </w:hyperlink>
          </w:p>
        </w:tc>
        <w:tc>
          <w:tcPr>
            <w:tcW w:w="6400" w:type="dxa"/>
            <w:tcBorders>
              <w:top w:val="nil"/>
              <w:left w:val="nil"/>
              <w:bottom w:val="single" w:sz="4" w:space="0" w:color="A6A6A6"/>
              <w:right w:val="single" w:sz="4" w:space="0" w:color="A6A6A6"/>
            </w:tcBorders>
            <w:shd w:val="clear" w:color="auto" w:fill="auto"/>
            <w:hideMark/>
          </w:tcPr>
          <w:p w14:paraId="406247DA"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On Migration and Interference mitigation</w:t>
            </w:r>
          </w:p>
        </w:tc>
        <w:tc>
          <w:tcPr>
            <w:tcW w:w="1900" w:type="dxa"/>
            <w:tcBorders>
              <w:top w:val="nil"/>
              <w:left w:val="nil"/>
              <w:bottom w:val="single" w:sz="4" w:space="0" w:color="A6A6A6"/>
              <w:right w:val="single" w:sz="4" w:space="0" w:color="A6A6A6"/>
            </w:tcBorders>
            <w:shd w:val="clear" w:color="auto" w:fill="auto"/>
            <w:hideMark/>
          </w:tcPr>
          <w:p w14:paraId="156B55A8"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Ericsson</w:t>
            </w:r>
          </w:p>
        </w:tc>
      </w:tr>
      <w:tr w:rsidR="008340B9" w:rsidRPr="008340B9" w14:paraId="658F4378" w14:textId="77777777" w:rsidTr="008340B9">
        <w:trPr>
          <w:trHeight w:val="450"/>
        </w:trPr>
        <w:tc>
          <w:tcPr>
            <w:tcW w:w="1400" w:type="dxa"/>
            <w:tcBorders>
              <w:top w:val="nil"/>
              <w:left w:val="single" w:sz="4" w:space="0" w:color="A6A6A6"/>
              <w:bottom w:val="single" w:sz="4" w:space="0" w:color="A6A6A6"/>
              <w:right w:val="single" w:sz="4" w:space="0" w:color="A6A6A6"/>
            </w:tcBorders>
            <w:shd w:val="clear" w:color="auto" w:fill="auto"/>
            <w:hideMark/>
          </w:tcPr>
          <w:p w14:paraId="13850EBE"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5" w:history="1">
              <w:r w:rsidR="008340B9" w:rsidRPr="008340B9">
                <w:rPr>
                  <w:rFonts w:ascii="Arial" w:hAnsi="Arial" w:cs="Arial"/>
                  <w:b/>
                  <w:bCs/>
                  <w:color w:val="0000FF"/>
                  <w:sz w:val="16"/>
                  <w:szCs w:val="16"/>
                  <w:u w:val="single"/>
                  <w:lang w:val="en-US" w:eastAsia="en-US"/>
                </w:rPr>
                <w:t>R2-2208242</w:t>
              </w:r>
            </w:hyperlink>
          </w:p>
        </w:tc>
        <w:tc>
          <w:tcPr>
            <w:tcW w:w="6400" w:type="dxa"/>
            <w:tcBorders>
              <w:top w:val="nil"/>
              <w:left w:val="nil"/>
              <w:bottom w:val="single" w:sz="4" w:space="0" w:color="A6A6A6"/>
              <w:right w:val="single" w:sz="4" w:space="0" w:color="A6A6A6"/>
            </w:tcBorders>
            <w:shd w:val="clear" w:color="auto" w:fill="auto"/>
            <w:hideMark/>
          </w:tcPr>
          <w:p w14:paraId="729352FB"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IAB mobility</w:t>
            </w:r>
          </w:p>
        </w:tc>
        <w:tc>
          <w:tcPr>
            <w:tcW w:w="1900" w:type="dxa"/>
            <w:tcBorders>
              <w:top w:val="nil"/>
              <w:left w:val="nil"/>
              <w:bottom w:val="single" w:sz="4" w:space="0" w:color="A6A6A6"/>
              <w:right w:val="single" w:sz="4" w:space="0" w:color="A6A6A6"/>
            </w:tcBorders>
            <w:shd w:val="clear" w:color="auto" w:fill="auto"/>
            <w:hideMark/>
          </w:tcPr>
          <w:p w14:paraId="18E35DB9"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Nokia, Nokia Shanghai Bell</w:t>
            </w:r>
          </w:p>
        </w:tc>
      </w:tr>
      <w:tr w:rsidR="008340B9" w:rsidRPr="008340B9" w14:paraId="61D35776"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441C3473"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6" w:history="1">
              <w:r w:rsidR="008340B9" w:rsidRPr="008340B9">
                <w:rPr>
                  <w:rFonts w:ascii="Arial" w:hAnsi="Arial" w:cs="Arial"/>
                  <w:b/>
                  <w:bCs/>
                  <w:color w:val="0000FF"/>
                  <w:sz w:val="16"/>
                  <w:szCs w:val="16"/>
                  <w:u w:val="single"/>
                  <w:lang w:val="en-US" w:eastAsia="en-US"/>
                </w:rPr>
                <w:t>R2-2208251</w:t>
              </w:r>
            </w:hyperlink>
          </w:p>
        </w:tc>
        <w:tc>
          <w:tcPr>
            <w:tcW w:w="6400" w:type="dxa"/>
            <w:tcBorders>
              <w:top w:val="nil"/>
              <w:left w:val="nil"/>
              <w:bottom w:val="single" w:sz="4" w:space="0" w:color="A6A6A6"/>
              <w:right w:val="single" w:sz="4" w:space="0" w:color="A6A6A6"/>
            </w:tcBorders>
            <w:shd w:val="clear" w:color="auto" w:fill="auto"/>
            <w:hideMark/>
          </w:tcPr>
          <w:p w14:paraId="09150229"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Consideration on PCI collisions for Mobile IAB</w:t>
            </w:r>
          </w:p>
        </w:tc>
        <w:tc>
          <w:tcPr>
            <w:tcW w:w="1900" w:type="dxa"/>
            <w:tcBorders>
              <w:top w:val="nil"/>
              <w:left w:val="nil"/>
              <w:bottom w:val="single" w:sz="4" w:space="0" w:color="A6A6A6"/>
              <w:right w:val="single" w:sz="4" w:space="0" w:color="A6A6A6"/>
            </w:tcBorders>
            <w:shd w:val="clear" w:color="auto" w:fill="auto"/>
            <w:hideMark/>
          </w:tcPr>
          <w:p w14:paraId="0600A555"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Sharp</w:t>
            </w:r>
          </w:p>
        </w:tc>
      </w:tr>
      <w:tr w:rsidR="008340B9" w:rsidRPr="008340B9" w14:paraId="00035A4A"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03CF42CE"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7" w:history="1">
              <w:r w:rsidR="008340B9" w:rsidRPr="008340B9">
                <w:rPr>
                  <w:rFonts w:ascii="Arial" w:hAnsi="Arial" w:cs="Arial"/>
                  <w:b/>
                  <w:bCs/>
                  <w:color w:val="0000FF"/>
                  <w:sz w:val="16"/>
                  <w:szCs w:val="16"/>
                  <w:u w:val="single"/>
                  <w:lang w:val="en-US" w:eastAsia="en-US"/>
                </w:rPr>
                <w:t>R2-2208267</w:t>
              </w:r>
            </w:hyperlink>
          </w:p>
        </w:tc>
        <w:tc>
          <w:tcPr>
            <w:tcW w:w="6400" w:type="dxa"/>
            <w:tcBorders>
              <w:top w:val="nil"/>
              <w:left w:val="nil"/>
              <w:bottom w:val="single" w:sz="4" w:space="0" w:color="A6A6A6"/>
              <w:right w:val="single" w:sz="4" w:space="0" w:color="A6A6A6"/>
            </w:tcBorders>
            <w:shd w:val="clear" w:color="auto" w:fill="auto"/>
            <w:hideMark/>
          </w:tcPr>
          <w:p w14:paraId="414292C1"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Mobility state of an IAB cell</w:t>
            </w:r>
          </w:p>
        </w:tc>
        <w:tc>
          <w:tcPr>
            <w:tcW w:w="1900" w:type="dxa"/>
            <w:tcBorders>
              <w:top w:val="nil"/>
              <w:left w:val="nil"/>
              <w:bottom w:val="single" w:sz="4" w:space="0" w:color="A6A6A6"/>
              <w:right w:val="single" w:sz="4" w:space="0" w:color="A6A6A6"/>
            </w:tcBorders>
            <w:shd w:val="clear" w:color="auto" w:fill="auto"/>
            <w:hideMark/>
          </w:tcPr>
          <w:p w14:paraId="3204DF9D"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InterDigital, Inc.</w:t>
            </w:r>
          </w:p>
        </w:tc>
      </w:tr>
      <w:tr w:rsidR="008340B9" w:rsidRPr="008340B9" w14:paraId="1DEEA17C"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1BAB6A9A"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8" w:history="1">
              <w:r w:rsidR="008340B9" w:rsidRPr="008340B9">
                <w:rPr>
                  <w:rFonts w:ascii="Arial" w:hAnsi="Arial" w:cs="Arial"/>
                  <w:b/>
                  <w:bCs/>
                  <w:color w:val="0000FF"/>
                  <w:sz w:val="16"/>
                  <w:szCs w:val="16"/>
                  <w:u w:val="single"/>
                  <w:lang w:val="en-US" w:eastAsia="en-US"/>
                </w:rPr>
                <w:t>R2-2208268</w:t>
              </w:r>
            </w:hyperlink>
          </w:p>
        </w:tc>
        <w:tc>
          <w:tcPr>
            <w:tcW w:w="6400" w:type="dxa"/>
            <w:tcBorders>
              <w:top w:val="nil"/>
              <w:left w:val="nil"/>
              <w:bottom w:val="single" w:sz="4" w:space="0" w:color="A6A6A6"/>
              <w:right w:val="single" w:sz="4" w:space="0" w:color="A6A6A6"/>
            </w:tcBorders>
            <w:shd w:val="clear" w:color="auto" w:fill="auto"/>
            <w:hideMark/>
          </w:tcPr>
          <w:p w14:paraId="1A2565BF"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Group mobility in mobile IAB</w:t>
            </w:r>
          </w:p>
        </w:tc>
        <w:tc>
          <w:tcPr>
            <w:tcW w:w="1900" w:type="dxa"/>
            <w:tcBorders>
              <w:top w:val="nil"/>
              <w:left w:val="nil"/>
              <w:bottom w:val="single" w:sz="4" w:space="0" w:color="A6A6A6"/>
              <w:right w:val="single" w:sz="4" w:space="0" w:color="A6A6A6"/>
            </w:tcBorders>
            <w:shd w:val="clear" w:color="auto" w:fill="auto"/>
            <w:hideMark/>
          </w:tcPr>
          <w:p w14:paraId="27BD22D9"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InterDigital, Inc.</w:t>
            </w:r>
          </w:p>
        </w:tc>
      </w:tr>
      <w:tr w:rsidR="008340B9" w:rsidRPr="008340B9" w14:paraId="2490767B"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66B5C82E"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29" w:history="1">
              <w:r w:rsidR="008340B9" w:rsidRPr="008340B9">
                <w:rPr>
                  <w:rFonts w:ascii="Arial" w:hAnsi="Arial" w:cs="Arial"/>
                  <w:b/>
                  <w:bCs/>
                  <w:color w:val="0000FF"/>
                  <w:sz w:val="16"/>
                  <w:szCs w:val="16"/>
                  <w:u w:val="single"/>
                  <w:lang w:val="en-US" w:eastAsia="en-US"/>
                </w:rPr>
                <w:t>R2-2208291</w:t>
              </w:r>
            </w:hyperlink>
          </w:p>
        </w:tc>
        <w:tc>
          <w:tcPr>
            <w:tcW w:w="6400" w:type="dxa"/>
            <w:tcBorders>
              <w:top w:val="nil"/>
              <w:left w:val="nil"/>
              <w:bottom w:val="single" w:sz="4" w:space="0" w:color="A6A6A6"/>
              <w:right w:val="single" w:sz="4" w:space="0" w:color="A6A6A6"/>
            </w:tcBorders>
            <w:shd w:val="clear" w:color="auto" w:fill="auto"/>
            <w:hideMark/>
          </w:tcPr>
          <w:p w14:paraId="66CD82C2"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 xml:space="preserve">Scenarios on mobile IAB topology </w:t>
            </w:r>
          </w:p>
        </w:tc>
        <w:tc>
          <w:tcPr>
            <w:tcW w:w="1900" w:type="dxa"/>
            <w:tcBorders>
              <w:top w:val="nil"/>
              <w:left w:val="nil"/>
              <w:bottom w:val="single" w:sz="4" w:space="0" w:color="A6A6A6"/>
              <w:right w:val="single" w:sz="4" w:space="0" w:color="A6A6A6"/>
            </w:tcBorders>
            <w:shd w:val="clear" w:color="auto" w:fill="auto"/>
            <w:hideMark/>
          </w:tcPr>
          <w:p w14:paraId="751E402A"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 xml:space="preserve">Kyocera </w:t>
            </w:r>
          </w:p>
        </w:tc>
      </w:tr>
      <w:tr w:rsidR="008340B9" w:rsidRPr="008340B9" w14:paraId="1F9364EC"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551E23D3"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30" w:history="1">
              <w:r w:rsidR="008340B9" w:rsidRPr="008340B9">
                <w:rPr>
                  <w:rFonts w:ascii="Arial" w:hAnsi="Arial" w:cs="Arial"/>
                  <w:b/>
                  <w:bCs/>
                  <w:color w:val="0000FF"/>
                  <w:sz w:val="16"/>
                  <w:szCs w:val="16"/>
                  <w:u w:val="single"/>
                  <w:lang w:val="en-US" w:eastAsia="en-US"/>
                </w:rPr>
                <w:t>R2-2208292</w:t>
              </w:r>
            </w:hyperlink>
          </w:p>
        </w:tc>
        <w:tc>
          <w:tcPr>
            <w:tcW w:w="6400" w:type="dxa"/>
            <w:tcBorders>
              <w:top w:val="nil"/>
              <w:left w:val="nil"/>
              <w:bottom w:val="single" w:sz="4" w:space="0" w:color="A6A6A6"/>
              <w:right w:val="single" w:sz="4" w:space="0" w:color="A6A6A6"/>
            </w:tcBorders>
            <w:shd w:val="clear" w:color="auto" w:fill="auto"/>
            <w:hideMark/>
          </w:tcPr>
          <w:p w14:paraId="00513903"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 xml:space="preserve">UE handover aspects for mobile IAB </w:t>
            </w:r>
          </w:p>
        </w:tc>
        <w:tc>
          <w:tcPr>
            <w:tcW w:w="1900" w:type="dxa"/>
            <w:tcBorders>
              <w:top w:val="nil"/>
              <w:left w:val="nil"/>
              <w:bottom w:val="single" w:sz="4" w:space="0" w:color="A6A6A6"/>
              <w:right w:val="single" w:sz="4" w:space="0" w:color="A6A6A6"/>
            </w:tcBorders>
            <w:shd w:val="clear" w:color="auto" w:fill="auto"/>
            <w:hideMark/>
          </w:tcPr>
          <w:p w14:paraId="4704D605"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 xml:space="preserve">Kyocera </w:t>
            </w:r>
          </w:p>
        </w:tc>
      </w:tr>
      <w:tr w:rsidR="008340B9" w:rsidRPr="008340B9" w14:paraId="475A45D7"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74937132"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31" w:history="1">
              <w:r w:rsidR="008340B9" w:rsidRPr="008340B9">
                <w:rPr>
                  <w:rFonts w:ascii="Arial" w:hAnsi="Arial" w:cs="Arial"/>
                  <w:b/>
                  <w:bCs/>
                  <w:color w:val="0000FF"/>
                  <w:sz w:val="16"/>
                  <w:szCs w:val="16"/>
                  <w:u w:val="single"/>
                  <w:lang w:val="en-US" w:eastAsia="en-US"/>
                </w:rPr>
                <w:t>R2-2208459</w:t>
              </w:r>
            </w:hyperlink>
          </w:p>
        </w:tc>
        <w:tc>
          <w:tcPr>
            <w:tcW w:w="6400" w:type="dxa"/>
            <w:tcBorders>
              <w:top w:val="nil"/>
              <w:left w:val="nil"/>
              <w:bottom w:val="single" w:sz="4" w:space="0" w:color="A6A6A6"/>
              <w:right w:val="single" w:sz="4" w:space="0" w:color="A6A6A6"/>
            </w:tcBorders>
            <w:shd w:val="clear" w:color="auto" w:fill="auto"/>
            <w:hideMark/>
          </w:tcPr>
          <w:p w14:paraId="576A8599"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Discussion on mobile IAB</w:t>
            </w:r>
          </w:p>
        </w:tc>
        <w:tc>
          <w:tcPr>
            <w:tcW w:w="1900" w:type="dxa"/>
            <w:tcBorders>
              <w:top w:val="nil"/>
              <w:left w:val="nil"/>
              <w:bottom w:val="single" w:sz="4" w:space="0" w:color="A6A6A6"/>
              <w:right w:val="single" w:sz="4" w:space="0" w:color="A6A6A6"/>
            </w:tcBorders>
            <w:shd w:val="clear" w:color="auto" w:fill="auto"/>
            <w:hideMark/>
          </w:tcPr>
          <w:p w14:paraId="2C9410EE"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vivo</w:t>
            </w:r>
          </w:p>
        </w:tc>
      </w:tr>
      <w:tr w:rsidR="008340B9" w:rsidRPr="008340B9" w14:paraId="21DBBE59"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6D36189A"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32" w:history="1">
              <w:r w:rsidR="008340B9" w:rsidRPr="008340B9">
                <w:rPr>
                  <w:rFonts w:ascii="Arial" w:hAnsi="Arial" w:cs="Arial"/>
                  <w:b/>
                  <w:bCs/>
                  <w:color w:val="0000FF"/>
                  <w:sz w:val="16"/>
                  <w:szCs w:val="16"/>
                  <w:u w:val="single"/>
                  <w:lang w:val="en-US" w:eastAsia="en-US"/>
                </w:rPr>
                <w:t>R2-2208514</w:t>
              </w:r>
            </w:hyperlink>
          </w:p>
        </w:tc>
        <w:tc>
          <w:tcPr>
            <w:tcW w:w="6400" w:type="dxa"/>
            <w:tcBorders>
              <w:top w:val="nil"/>
              <w:left w:val="nil"/>
              <w:bottom w:val="single" w:sz="4" w:space="0" w:color="A6A6A6"/>
              <w:right w:val="single" w:sz="4" w:space="0" w:color="A6A6A6"/>
            </w:tcBorders>
            <w:shd w:val="clear" w:color="auto" w:fill="auto"/>
            <w:hideMark/>
          </w:tcPr>
          <w:p w14:paraId="4F5AC16F"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Consideration on potential complexity of a scenario</w:t>
            </w:r>
          </w:p>
        </w:tc>
        <w:tc>
          <w:tcPr>
            <w:tcW w:w="1900" w:type="dxa"/>
            <w:tcBorders>
              <w:top w:val="nil"/>
              <w:left w:val="nil"/>
              <w:bottom w:val="single" w:sz="4" w:space="0" w:color="A6A6A6"/>
              <w:right w:val="single" w:sz="4" w:space="0" w:color="A6A6A6"/>
            </w:tcBorders>
            <w:shd w:val="clear" w:color="auto" w:fill="auto"/>
            <w:hideMark/>
          </w:tcPr>
          <w:p w14:paraId="67BB91F8"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LG Electronics Inc.</w:t>
            </w:r>
          </w:p>
        </w:tc>
      </w:tr>
      <w:tr w:rsidR="008340B9" w:rsidRPr="008340B9" w14:paraId="48B681DE" w14:textId="77777777" w:rsidTr="008340B9">
        <w:trPr>
          <w:trHeight w:val="225"/>
        </w:trPr>
        <w:tc>
          <w:tcPr>
            <w:tcW w:w="1400" w:type="dxa"/>
            <w:tcBorders>
              <w:top w:val="nil"/>
              <w:left w:val="single" w:sz="4" w:space="0" w:color="A6A6A6"/>
              <w:bottom w:val="single" w:sz="4" w:space="0" w:color="A6A6A6"/>
              <w:right w:val="single" w:sz="4" w:space="0" w:color="A6A6A6"/>
            </w:tcBorders>
            <w:shd w:val="clear" w:color="auto" w:fill="auto"/>
            <w:hideMark/>
          </w:tcPr>
          <w:p w14:paraId="06221B5A" w14:textId="77777777" w:rsidR="008340B9" w:rsidRPr="008340B9" w:rsidRDefault="00A51C92" w:rsidP="008340B9">
            <w:pPr>
              <w:overflowPunct/>
              <w:autoSpaceDE/>
              <w:autoSpaceDN/>
              <w:adjustRightInd/>
              <w:spacing w:after="0"/>
              <w:textAlignment w:val="auto"/>
              <w:rPr>
                <w:rFonts w:ascii="Arial" w:hAnsi="Arial" w:cs="Arial"/>
                <w:b/>
                <w:bCs/>
                <w:color w:val="0000FF"/>
                <w:sz w:val="16"/>
                <w:szCs w:val="16"/>
                <w:u w:val="single"/>
                <w:lang w:val="en-US" w:eastAsia="en-US"/>
              </w:rPr>
            </w:pPr>
            <w:hyperlink r:id="rId33" w:history="1">
              <w:r w:rsidR="008340B9" w:rsidRPr="008340B9">
                <w:rPr>
                  <w:rFonts w:ascii="Arial" w:hAnsi="Arial" w:cs="Arial"/>
                  <w:b/>
                  <w:bCs/>
                  <w:color w:val="0000FF"/>
                  <w:sz w:val="16"/>
                  <w:szCs w:val="16"/>
                  <w:u w:val="single"/>
                  <w:lang w:val="en-US" w:eastAsia="en-US"/>
                </w:rPr>
                <w:t>R2-2208523</w:t>
              </w:r>
            </w:hyperlink>
          </w:p>
        </w:tc>
        <w:tc>
          <w:tcPr>
            <w:tcW w:w="6400" w:type="dxa"/>
            <w:tcBorders>
              <w:top w:val="nil"/>
              <w:left w:val="nil"/>
              <w:bottom w:val="single" w:sz="4" w:space="0" w:color="A6A6A6"/>
              <w:right w:val="single" w:sz="4" w:space="0" w:color="A6A6A6"/>
            </w:tcBorders>
            <w:shd w:val="clear" w:color="auto" w:fill="auto"/>
            <w:hideMark/>
          </w:tcPr>
          <w:p w14:paraId="657FF5F4"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Concurrent UE handovers resulting from IAB node full migration</w:t>
            </w:r>
          </w:p>
        </w:tc>
        <w:tc>
          <w:tcPr>
            <w:tcW w:w="1900" w:type="dxa"/>
            <w:tcBorders>
              <w:top w:val="nil"/>
              <w:left w:val="nil"/>
              <w:bottom w:val="single" w:sz="4" w:space="0" w:color="A6A6A6"/>
              <w:right w:val="single" w:sz="4" w:space="0" w:color="A6A6A6"/>
            </w:tcBorders>
            <w:shd w:val="clear" w:color="auto" w:fill="auto"/>
            <w:hideMark/>
          </w:tcPr>
          <w:p w14:paraId="790B7C8F" w14:textId="77777777" w:rsidR="008340B9" w:rsidRPr="008340B9" w:rsidRDefault="008340B9" w:rsidP="008340B9">
            <w:pPr>
              <w:overflowPunct/>
              <w:autoSpaceDE/>
              <w:autoSpaceDN/>
              <w:adjustRightInd/>
              <w:spacing w:after="0"/>
              <w:textAlignment w:val="auto"/>
              <w:rPr>
                <w:rFonts w:ascii="Arial" w:hAnsi="Arial" w:cs="Arial"/>
                <w:sz w:val="16"/>
                <w:szCs w:val="16"/>
                <w:lang w:val="en-US" w:eastAsia="en-US"/>
              </w:rPr>
            </w:pPr>
            <w:r w:rsidRPr="008340B9">
              <w:rPr>
                <w:rFonts w:ascii="Arial" w:hAnsi="Arial" w:cs="Arial"/>
                <w:sz w:val="16"/>
                <w:szCs w:val="16"/>
                <w:lang w:val="en-US" w:eastAsia="en-US"/>
              </w:rPr>
              <w:t>LG Electronics</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16991171" w:rsidR="00701410" w:rsidRDefault="00701410" w:rsidP="003E3A1A">
      <w:pPr>
        <w:overflowPunct/>
        <w:autoSpaceDE/>
        <w:autoSpaceDN/>
        <w:snapToGrid w:val="0"/>
        <w:spacing w:after="0"/>
        <w:textAlignment w:val="auto"/>
        <w:rPr>
          <w:rFonts w:ascii="Arial" w:hAnsi="Arial" w:cs="Arial"/>
          <w:lang w:eastAsia="ja-JP"/>
        </w:rPr>
      </w:pPr>
    </w:p>
    <w:p w14:paraId="4941E480" w14:textId="2940F342" w:rsidR="008340B9" w:rsidRPr="008340B9" w:rsidRDefault="008340B9" w:rsidP="008340B9">
      <w:pPr>
        <w:pStyle w:val="NO"/>
        <w:rPr>
          <w:rFonts w:ascii="Arial" w:hAnsi="Arial" w:cs="Arial"/>
          <w:b/>
          <w:bCs/>
          <w:iCs/>
        </w:rPr>
      </w:pPr>
      <w:r w:rsidRPr="008340B9">
        <w:rPr>
          <w:rFonts w:ascii="Arial" w:hAnsi="Arial" w:cs="Arial"/>
          <w:b/>
          <w:bCs/>
          <w:iCs/>
        </w:rPr>
        <w:t>RAN</w:t>
      </w:r>
      <w:r w:rsidR="0092385C">
        <w:rPr>
          <w:rFonts w:ascii="Arial" w:hAnsi="Arial" w:cs="Arial"/>
          <w:b/>
          <w:bCs/>
          <w:iCs/>
        </w:rPr>
        <w:t>3</w:t>
      </w:r>
      <w:r w:rsidRPr="008340B9">
        <w:rPr>
          <w:rFonts w:ascii="Arial" w:hAnsi="Arial" w:cs="Arial"/>
          <w:b/>
          <w:bCs/>
          <w:iCs/>
        </w:rPr>
        <w:t>#11</w:t>
      </w:r>
      <w:r>
        <w:rPr>
          <w:rFonts w:ascii="Arial" w:hAnsi="Arial" w:cs="Arial"/>
          <w:b/>
          <w:bCs/>
          <w:iCs/>
        </w:rPr>
        <w:t>7</w:t>
      </w:r>
      <w:r w:rsidRPr="008340B9">
        <w:rPr>
          <w:rFonts w:ascii="Arial" w:hAnsi="Arial" w:cs="Arial"/>
          <w:b/>
          <w:bCs/>
          <w:iCs/>
        </w:rPr>
        <w:t>e:</w:t>
      </w:r>
    </w:p>
    <w:tbl>
      <w:tblPr>
        <w:tblW w:w="9680" w:type="dxa"/>
        <w:tblLook w:val="04A0" w:firstRow="1" w:lastRow="0" w:firstColumn="1" w:lastColumn="0" w:noHBand="0" w:noVBand="1"/>
      </w:tblPr>
      <w:tblGrid>
        <w:gridCol w:w="1260"/>
        <w:gridCol w:w="6160"/>
        <w:gridCol w:w="2260"/>
      </w:tblGrid>
      <w:tr w:rsidR="000F6988" w:rsidRPr="000F6988" w14:paraId="415CF52B" w14:textId="77777777" w:rsidTr="000F6988">
        <w:trPr>
          <w:trHeight w:val="900"/>
        </w:trPr>
        <w:tc>
          <w:tcPr>
            <w:tcW w:w="1260" w:type="dxa"/>
            <w:tcBorders>
              <w:top w:val="single" w:sz="4" w:space="0" w:color="FFFFFF"/>
              <w:left w:val="single" w:sz="4" w:space="0" w:color="FFFFFF"/>
              <w:bottom w:val="single" w:sz="4" w:space="0" w:color="FFFFFF"/>
              <w:right w:val="single" w:sz="4" w:space="0" w:color="FFFFFF"/>
            </w:tcBorders>
            <w:shd w:val="clear" w:color="000000" w:fill="75B91A"/>
            <w:hideMark/>
          </w:tcPr>
          <w:p w14:paraId="78096B53" w14:textId="77777777" w:rsidR="000F6988" w:rsidRPr="000F6988" w:rsidRDefault="000F6988" w:rsidP="000F6988">
            <w:pPr>
              <w:overflowPunct/>
              <w:autoSpaceDE/>
              <w:autoSpaceDN/>
              <w:adjustRightInd/>
              <w:spacing w:after="0"/>
              <w:jc w:val="center"/>
              <w:textAlignment w:val="auto"/>
              <w:rPr>
                <w:rFonts w:ascii="Arial" w:hAnsi="Arial" w:cs="Arial"/>
                <w:b/>
                <w:bCs/>
                <w:color w:val="FFFFFF"/>
                <w:sz w:val="18"/>
                <w:szCs w:val="18"/>
                <w:lang w:val="en-US" w:eastAsia="en-US"/>
              </w:rPr>
            </w:pPr>
            <w:r w:rsidRPr="000F6988">
              <w:rPr>
                <w:rFonts w:ascii="Arial" w:hAnsi="Arial" w:cs="Arial"/>
                <w:b/>
                <w:bCs/>
                <w:color w:val="FFFFFF"/>
                <w:sz w:val="18"/>
                <w:szCs w:val="18"/>
                <w:lang w:val="en-US" w:eastAsia="en-US"/>
              </w:rPr>
              <w:t>TDoc</w:t>
            </w:r>
          </w:p>
        </w:tc>
        <w:tc>
          <w:tcPr>
            <w:tcW w:w="6160" w:type="dxa"/>
            <w:tcBorders>
              <w:top w:val="single" w:sz="4" w:space="0" w:color="FFFFFF"/>
              <w:left w:val="nil"/>
              <w:bottom w:val="single" w:sz="4" w:space="0" w:color="FFFFFF"/>
              <w:right w:val="single" w:sz="4" w:space="0" w:color="FFFFFF"/>
            </w:tcBorders>
            <w:shd w:val="clear" w:color="000000" w:fill="75B91A"/>
            <w:hideMark/>
          </w:tcPr>
          <w:p w14:paraId="1C6740E5" w14:textId="77777777" w:rsidR="000F6988" w:rsidRPr="000F6988" w:rsidRDefault="000F6988" w:rsidP="000F6988">
            <w:pPr>
              <w:overflowPunct/>
              <w:autoSpaceDE/>
              <w:autoSpaceDN/>
              <w:adjustRightInd/>
              <w:spacing w:after="0"/>
              <w:jc w:val="center"/>
              <w:textAlignment w:val="auto"/>
              <w:rPr>
                <w:rFonts w:ascii="Arial" w:hAnsi="Arial" w:cs="Arial"/>
                <w:b/>
                <w:bCs/>
                <w:color w:val="FFFFFF"/>
                <w:sz w:val="18"/>
                <w:szCs w:val="18"/>
                <w:lang w:val="en-US" w:eastAsia="en-US"/>
              </w:rPr>
            </w:pPr>
            <w:r w:rsidRPr="000F6988">
              <w:rPr>
                <w:rFonts w:ascii="Arial" w:hAnsi="Arial" w:cs="Arial"/>
                <w:b/>
                <w:bCs/>
                <w:color w:val="FFFFFF"/>
                <w:sz w:val="18"/>
                <w:szCs w:val="18"/>
                <w:lang w:val="en-US" w:eastAsia="en-US"/>
              </w:rPr>
              <w:t>Title</w:t>
            </w:r>
          </w:p>
        </w:tc>
        <w:tc>
          <w:tcPr>
            <w:tcW w:w="2260" w:type="dxa"/>
            <w:tcBorders>
              <w:top w:val="single" w:sz="4" w:space="0" w:color="FFFFFF"/>
              <w:left w:val="nil"/>
              <w:bottom w:val="single" w:sz="4" w:space="0" w:color="FFFFFF"/>
              <w:right w:val="single" w:sz="4" w:space="0" w:color="FFFFFF"/>
            </w:tcBorders>
            <w:shd w:val="clear" w:color="000000" w:fill="75B91A"/>
            <w:hideMark/>
          </w:tcPr>
          <w:p w14:paraId="403160D7" w14:textId="77777777" w:rsidR="000F6988" w:rsidRPr="000F6988" w:rsidRDefault="000F6988" w:rsidP="000F6988">
            <w:pPr>
              <w:overflowPunct/>
              <w:autoSpaceDE/>
              <w:autoSpaceDN/>
              <w:adjustRightInd/>
              <w:spacing w:after="0"/>
              <w:jc w:val="center"/>
              <w:textAlignment w:val="auto"/>
              <w:rPr>
                <w:rFonts w:ascii="Arial" w:hAnsi="Arial" w:cs="Arial"/>
                <w:b/>
                <w:bCs/>
                <w:color w:val="FFFFFF"/>
                <w:sz w:val="18"/>
                <w:szCs w:val="18"/>
                <w:lang w:val="en-US" w:eastAsia="en-US"/>
              </w:rPr>
            </w:pPr>
            <w:r w:rsidRPr="000F6988">
              <w:rPr>
                <w:rFonts w:ascii="Arial" w:hAnsi="Arial" w:cs="Arial"/>
                <w:b/>
                <w:bCs/>
                <w:color w:val="FFFFFF"/>
                <w:sz w:val="18"/>
                <w:szCs w:val="18"/>
                <w:lang w:val="en-US" w:eastAsia="en-US"/>
              </w:rPr>
              <w:t>Source</w:t>
            </w:r>
          </w:p>
        </w:tc>
      </w:tr>
      <w:tr w:rsidR="000F6988" w:rsidRPr="000F6988" w14:paraId="66D26022" w14:textId="77777777" w:rsidTr="000F6988">
        <w:trPr>
          <w:trHeight w:val="450"/>
        </w:trPr>
        <w:tc>
          <w:tcPr>
            <w:tcW w:w="1260" w:type="dxa"/>
            <w:tcBorders>
              <w:top w:val="single" w:sz="4" w:space="0" w:color="A6A6A6"/>
              <w:left w:val="single" w:sz="4" w:space="0" w:color="A6A6A6"/>
              <w:bottom w:val="single" w:sz="4" w:space="0" w:color="A6A6A6"/>
              <w:right w:val="single" w:sz="4" w:space="0" w:color="A6A6A6"/>
            </w:tcBorders>
            <w:shd w:val="clear" w:color="auto" w:fill="auto"/>
            <w:hideMark/>
          </w:tcPr>
          <w:p w14:paraId="26363D07"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R3-224233</w:t>
            </w:r>
          </w:p>
        </w:tc>
        <w:tc>
          <w:tcPr>
            <w:tcW w:w="6160" w:type="dxa"/>
            <w:tcBorders>
              <w:top w:val="single" w:sz="4" w:space="0" w:color="A6A6A6"/>
              <w:left w:val="nil"/>
              <w:bottom w:val="single" w:sz="4" w:space="0" w:color="A6A6A6"/>
              <w:right w:val="single" w:sz="4" w:space="0" w:color="A6A6A6"/>
            </w:tcBorders>
            <w:shd w:val="clear" w:color="auto" w:fill="auto"/>
            <w:hideMark/>
          </w:tcPr>
          <w:p w14:paraId="09CFF72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Handling legacy UE in UAM using Mobile-IAB</w:t>
            </w:r>
          </w:p>
        </w:tc>
        <w:tc>
          <w:tcPr>
            <w:tcW w:w="2260" w:type="dxa"/>
            <w:tcBorders>
              <w:top w:val="single" w:sz="4" w:space="0" w:color="A6A6A6"/>
              <w:left w:val="nil"/>
              <w:bottom w:val="single" w:sz="4" w:space="0" w:color="A6A6A6"/>
              <w:right w:val="single" w:sz="4" w:space="0" w:color="A6A6A6"/>
            </w:tcBorders>
            <w:shd w:val="clear" w:color="auto" w:fill="auto"/>
            <w:hideMark/>
          </w:tcPr>
          <w:p w14:paraId="0A4A7E0D"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KT Corp., LG Uplus, SK Telecom, ETRI</w:t>
            </w:r>
          </w:p>
        </w:tc>
      </w:tr>
      <w:tr w:rsidR="000F6988" w:rsidRPr="000F6988" w14:paraId="785FB6EC" w14:textId="77777777" w:rsidTr="000F698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2FBEE706"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R3-224237</w:t>
            </w:r>
          </w:p>
        </w:tc>
        <w:tc>
          <w:tcPr>
            <w:tcW w:w="6160" w:type="dxa"/>
            <w:tcBorders>
              <w:top w:val="nil"/>
              <w:left w:val="nil"/>
              <w:bottom w:val="single" w:sz="4" w:space="0" w:color="A6A6A6"/>
              <w:right w:val="single" w:sz="4" w:space="0" w:color="A6A6A6"/>
            </w:tcBorders>
            <w:shd w:val="clear" w:color="auto" w:fill="auto"/>
            <w:hideMark/>
          </w:tcPr>
          <w:p w14:paraId="49B18F85"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Workplan for Rel-18 mobile IAB</w:t>
            </w:r>
          </w:p>
        </w:tc>
        <w:tc>
          <w:tcPr>
            <w:tcW w:w="2260" w:type="dxa"/>
            <w:tcBorders>
              <w:top w:val="nil"/>
              <w:left w:val="nil"/>
              <w:bottom w:val="single" w:sz="4" w:space="0" w:color="A6A6A6"/>
              <w:right w:val="single" w:sz="4" w:space="0" w:color="A6A6A6"/>
            </w:tcBorders>
            <w:shd w:val="clear" w:color="auto" w:fill="auto"/>
            <w:hideMark/>
          </w:tcPr>
          <w:p w14:paraId="3BDBBFF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 (Rapporteur)</w:t>
            </w:r>
          </w:p>
        </w:tc>
      </w:tr>
      <w:tr w:rsidR="000F6988" w:rsidRPr="000F6988" w14:paraId="0A40BCF1" w14:textId="77777777" w:rsidTr="000F698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0AF98049"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R3-224238</w:t>
            </w:r>
          </w:p>
        </w:tc>
        <w:tc>
          <w:tcPr>
            <w:tcW w:w="6160" w:type="dxa"/>
            <w:tcBorders>
              <w:top w:val="nil"/>
              <w:left w:val="nil"/>
              <w:bottom w:val="single" w:sz="4" w:space="0" w:color="A6A6A6"/>
              <w:right w:val="single" w:sz="4" w:space="0" w:color="A6A6A6"/>
            </w:tcBorders>
            <w:shd w:val="clear" w:color="auto" w:fill="auto"/>
            <w:hideMark/>
          </w:tcPr>
          <w:p w14:paraId="20BB3070"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Topology adaptation for mobile IAB</w:t>
            </w:r>
          </w:p>
        </w:tc>
        <w:tc>
          <w:tcPr>
            <w:tcW w:w="2260" w:type="dxa"/>
            <w:tcBorders>
              <w:top w:val="nil"/>
              <w:left w:val="nil"/>
              <w:bottom w:val="single" w:sz="4" w:space="0" w:color="A6A6A6"/>
              <w:right w:val="single" w:sz="4" w:space="0" w:color="A6A6A6"/>
            </w:tcBorders>
            <w:shd w:val="clear" w:color="auto" w:fill="auto"/>
            <w:hideMark/>
          </w:tcPr>
          <w:p w14:paraId="483DE9D7"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w:t>
            </w:r>
          </w:p>
        </w:tc>
      </w:tr>
      <w:tr w:rsidR="000F6988" w:rsidRPr="000F6988" w14:paraId="224B35A9" w14:textId="77777777" w:rsidTr="000F698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709D293D"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R3-224239</w:t>
            </w:r>
          </w:p>
        </w:tc>
        <w:tc>
          <w:tcPr>
            <w:tcW w:w="6160" w:type="dxa"/>
            <w:tcBorders>
              <w:top w:val="nil"/>
              <w:left w:val="nil"/>
              <w:bottom w:val="single" w:sz="4" w:space="0" w:color="A6A6A6"/>
              <w:right w:val="single" w:sz="4" w:space="0" w:color="A6A6A6"/>
            </w:tcBorders>
            <w:shd w:val="clear" w:color="auto" w:fill="auto"/>
            <w:hideMark/>
          </w:tcPr>
          <w:p w14:paraId="5843F222"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 xml:space="preserve">Enhancements for mobility of IAB-node and </w:t>
            </w:r>
            <w:proofErr w:type="gramStart"/>
            <w:r w:rsidRPr="000F6988">
              <w:rPr>
                <w:rFonts w:ascii="Arial" w:hAnsi="Arial" w:cs="Arial"/>
                <w:sz w:val="16"/>
                <w:szCs w:val="16"/>
                <w:lang w:val="en-US" w:eastAsia="en-US"/>
              </w:rPr>
              <w:t>its</w:t>
            </w:r>
            <w:proofErr w:type="gramEnd"/>
            <w:r w:rsidRPr="000F6988">
              <w:rPr>
                <w:rFonts w:ascii="Arial" w:hAnsi="Arial" w:cs="Arial"/>
                <w:sz w:val="16"/>
                <w:szCs w:val="16"/>
                <w:lang w:val="en-US" w:eastAsia="en-US"/>
              </w:rPr>
              <w:t xml:space="preserve"> served UEs</w:t>
            </w:r>
          </w:p>
        </w:tc>
        <w:tc>
          <w:tcPr>
            <w:tcW w:w="2260" w:type="dxa"/>
            <w:tcBorders>
              <w:top w:val="nil"/>
              <w:left w:val="nil"/>
              <w:bottom w:val="single" w:sz="4" w:space="0" w:color="A6A6A6"/>
              <w:right w:val="single" w:sz="4" w:space="0" w:color="A6A6A6"/>
            </w:tcBorders>
            <w:shd w:val="clear" w:color="auto" w:fill="auto"/>
            <w:hideMark/>
          </w:tcPr>
          <w:p w14:paraId="41ACEEA0"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w:t>
            </w:r>
          </w:p>
        </w:tc>
      </w:tr>
      <w:tr w:rsidR="000F6988" w:rsidRPr="000F6988" w14:paraId="48AA155A" w14:textId="77777777" w:rsidTr="000F698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3A565D73"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R3-224240</w:t>
            </w:r>
          </w:p>
        </w:tc>
        <w:tc>
          <w:tcPr>
            <w:tcW w:w="6160" w:type="dxa"/>
            <w:tcBorders>
              <w:top w:val="nil"/>
              <w:left w:val="nil"/>
              <w:bottom w:val="single" w:sz="4" w:space="0" w:color="A6A6A6"/>
              <w:right w:val="single" w:sz="4" w:space="0" w:color="A6A6A6"/>
            </w:tcBorders>
            <w:shd w:val="clear" w:color="auto" w:fill="auto"/>
            <w:hideMark/>
          </w:tcPr>
          <w:p w14:paraId="1E4BE271"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PCI collision avoidance for mobile IAB</w:t>
            </w:r>
          </w:p>
        </w:tc>
        <w:tc>
          <w:tcPr>
            <w:tcW w:w="2260" w:type="dxa"/>
            <w:tcBorders>
              <w:top w:val="nil"/>
              <w:left w:val="nil"/>
              <w:bottom w:val="single" w:sz="4" w:space="0" w:color="A6A6A6"/>
              <w:right w:val="single" w:sz="4" w:space="0" w:color="A6A6A6"/>
            </w:tcBorders>
            <w:shd w:val="clear" w:color="auto" w:fill="auto"/>
            <w:hideMark/>
          </w:tcPr>
          <w:p w14:paraId="603ABE79"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w:t>
            </w:r>
          </w:p>
        </w:tc>
      </w:tr>
      <w:tr w:rsidR="000F6988" w:rsidRPr="000F6988" w14:paraId="5B546D8D"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001FF07"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R3-224353</w:t>
            </w:r>
          </w:p>
        </w:tc>
        <w:tc>
          <w:tcPr>
            <w:tcW w:w="6160" w:type="dxa"/>
            <w:tcBorders>
              <w:top w:val="nil"/>
              <w:left w:val="nil"/>
              <w:bottom w:val="single" w:sz="4" w:space="0" w:color="A6A6A6"/>
              <w:right w:val="single" w:sz="4" w:space="0" w:color="A6A6A6"/>
            </w:tcBorders>
            <w:shd w:val="clear" w:color="auto" w:fill="auto"/>
            <w:hideMark/>
          </w:tcPr>
          <w:p w14:paraId="27A18783"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the full migration for mobile IAB</w:t>
            </w:r>
          </w:p>
        </w:tc>
        <w:tc>
          <w:tcPr>
            <w:tcW w:w="2260" w:type="dxa"/>
            <w:tcBorders>
              <w:top w:val="nil"/>
              <w:left w:val="nil"/>
              <w:bottom w:val="single" w:sz="4" w:space="0" w:color="A6A6A6"/>
              <w:right w:val="single" w:sz="4" w:space="0" w:color="A6A6A6"/>
            </w:tcBorders>
            <w:shd w:val="clear" w:color="auto" w:fill="auto"/>
            <w:hideMark/>
          </w:tcPr>
          <w:p w14:paraId="7AD86981"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Huawei</w:t>
            </w:r>
          </w:p>
        </w:tc>
      </w:tr>
      <w:tr w:rsidR="000F6988" w:rsidRPr="000F6988" w14:paraId="3D1C4EF4"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0FBA572"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R3-224354</w:t>
            </w:r>
          </w:p>
        </w:tc>
        <w:tc>
          <w:tcPr>
            <w:tcW w:w="6160" w:type="dxa"/>
            <w:tcBorders>
              <w:top w:val="nil"/>
              <w:left w:val="nil"/>
              <w:bottom w:val="single" w:sz="4" w:space="0" w:color="A6A6A6"/>
              <w:right w:val="single" w:sz="4" w:space="0" w:color="A6A6A6"/>
            </w:tcBorders>
            <w:shd w:val="clear" w:color="auto" w:fill="auto"/>
            <w:hideMark/>
          </w:tcPr>
          <w:p w14:paraId="6106DD7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the inter-donor transport for full migration of mobile IAB</w:t>
            </w:r>
          </w:p>
        </w:tc>
        <w:tc>
          <w:tcPr>
            <w:tcW w:w="2260" w:type="dxa"/>
            <w:tcBorders>
              <w:top w:val="nil"/>
              <w:left w:val="nil"/>
              <w:bottom w:val="single" w:sz="4" w:space="0" w:color="A6A6A6"/>
              <w:right w:val="single" w:sz="4" w:space="0" w:color="A6A6A6"/>
            </w:tcBorders>
            <w:shd w:val="clear" w:color="auto" w:fill="auto"/>
            <w:hideMark/>
          </w:tcPr>
          <w:p w14:paraId="5F6B9412"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Huawei</w:t>
            </w:r>
          </w:p>
        </w:tc>
      </w:tr>
      <w:tr w:rsidR="000F6988" w:rsidRPr="000F6988" w14:paraId="3F790FE2"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20DCD5F"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R3-224355</w:t>
            </w:r>
          </w:p>
        </w:tc>
        <w:tc>
          <w:tcPr>
            <w:tcW w:w="6160" w:type="dxa"/>
            <w:tcBorders>
              <w:top w:val="nil"/>
              <w:left w:val="nil"/>
              <w:bottom w:val="single" w:sz="4" w:space="0" w:color="A6A6A6"/>
              <w:right w:val="single" w:sz="4" w:space="0" w:color="A6A6A6"/>
            </w:tcBorders>
            <w:shd w:val="clear" w:color="auto" w:fill="auto"/>
            <w:hideMark/>
          </w:tcPr>
          <w:p w14:paraId="668C6A1C"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group mobility for mobile IAB and Ues</w:t>
            </w:r>
          </w:p>
        </w:tc>
        <w:tc>
          <w:tcPr>
            <w:tcW w:w="2260" w:type="dxa"/>
            <w:tcBorders>
              <w:top w:val="nil"/>
              <w:left w:val="nil"/>
              <w:bottom w:val="single" w:sz="4" w:space="0" w:color="A6A6A6"/>
              <w:right w:val="single" w:sz="4" w:space="0" w:color="A6A6A6"/>
            </w:tcBorders>
            <w:shd w:val="clear" w:color="auto" w:fill="auto"/>
            <w:hideMark/>
          </w:tcPr>
          <w:p w14:paraId="33CFA1A5"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Huawei</w:t>
            </w:r>
          </w:p>
        </w:tc>
      </w:tr>
      <w:tr w:rsidR="000F6988" w:rsidRPr="000F6988" w14:paraId="1561618E"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2631BE2"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R3-224356</w:t>
            </w:r>
          </w:p>
        </w:tc>
        <w:tc>
          <w:tcPr>
            <w:tcW w:w="6160" w:type="dxa"/>
            <w:tcBorders>
              <w:top w:val="nil"/>
              <w:left w:val="nil"/>
              <w:bottom w:val="single" w:sz="4" w:space="0" w:color="A6A6A6"/>
              <w:right w:val="single" w:sz="4" w:space="0" w:color="A6A6A6"/>
            </w:tcBorders>
            <w:shd w:val="clear" w:color="auto" w:fill="auto"/>
            <w:hideMark/>
          </w:tcPr>
          <w:p w14:paraId="4F316B37"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RACH optimization for connected UE of mobile IAB</w:t>
            </w:r>
          </w:p>
        </w:tc>
        <w:tc>
          <w:tcPr>
            <w:tcW w:w="2260" w:type="dxa"/>
            <w:tcBorders>
              <w:top w:val="nil"/>
              <w:left w:val="nil"/>
              <w:bottom w:val="single" w:sz="4" w:space="0" w:color="A6A6A6"/>
              <w:right w:val="single" w:sz="4" w:space="0" w:color="A6A6A6"/>
            </w:tcBorders>
            <w:shd w:val="clear" w:color="auto" w:fill="auto"/>
            <w:hideMark/>
          </w:tcPr>
          <w:p w14:paraId="35EB0D13"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Huawei</w:t>
            </w:r>
          </w:p>
        </w:tc>
      </w:tr>
      <w:tr w:rsidR="000F6988" w:rsidRPr="000F6988" w14:paraId="68844CA1"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3E83B48"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R3-224357</w:t>
            </w:r>
          </w:p>
        </w:tc>
        <w:tc>
          <w:tcPr>
            <w:tcW w:w="6160" w:type="dxa"/>
            <w:tcBorders>
              <w:top w:val="nil"/>
              <w:left w:val="nil"/>
              <w:bottom w:val="single" w:sz="4" w:space="0" w:color="A6A6A6"/>
              <w:right w:val="single" w:sz="4" w:space="0" w:color="A6A6A6"/>
            </w:tcBorders>
            <w:shd w:val="clear" w:color="auto" w:fill="auto"/>
            <w:hideMark/>
          </w:tcPr>
          <w:p w14:paraId="0F3729ED"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the interference mitigation</w:t>
            </w:r>
          </w:p>
        </w:tc>
        <w:tc>
          <w:tcPr>
            <w:tcW w:w="2260" w:type="dxa"/>
            <w:tcBorders>
              <w:top w:val="nil"/>
              <w:left w:val="nil"/>
              <w:bottom w:val="single" w:sz="4" w:space="0" w:color="A6A6A6"/>
              <w:right w:val="single" w:sz="4" w:space="0" w:color="A6A6A6"/>
            </w:tcBorders>
            <w:shd w:val="clear" w:color="auto" w:fill="auto"/>
            <w:hideMark/>
          </w:tcPr>
          <w:p w14:paraId="52502ABC"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Huawei</w:t>
            </w:r>
          </w:p>
        </w:tc>
      </w:tr>
      <w:tr w:rsidR="000F6988" w:rsidRPr="000F6988" w14:paraId="18EBC26A"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67CB0A1"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R3-224375</w:t>
            </w:r>
          </w:p>
        </w:tc>
        <w:tc>
          <w:tcPr>
            <w:tcW w:w="6160" w:type="dxa"/>
            <w:tcBorders>
              <w:top w:val="nil"/>
              <w:left w:val="nil"/>
              <w:bottom w:val="single" w:sz="4" w:space="0" w:color="A6A6A6"/>
              <w:right w:val="single" w:sz="4" w:space="0" w:color="A6A6A6"/>
            </w:tcBorders>
            <w:shd w:val="clear" w:color="auto" w:fill="auto"/>
            <w:hideMark/>
          </w:tcPr>
          <w:p w14:paraId="6890D8C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 xml:space="preserve">Discussion on general mobile IAB aspects </w:t>
            </w:r>
          </w:p>
        </w:tc>
        <w:tc>
          <w:tcPr>
            <w:tcW w:w="2260" w:type="dxa"/>
            <w:tcBorders>
              <w:top w:val="nil"/>
              <w:left w:val="nil"/>
              <w:bottom w:val="single" w:sz="4" w:space="0" w:color="A6A6A6"/>
              <w:right w:val="single" w:sz="4" w:space="0" w:color="A6A6A6"/>
            </w:tcBorders>
            <w:shd w:val="clear" w:color="auto" w:fill="auto"/>
            <w:hideMark/>
          </w:tcPr>
          <w:p w14:paraId="17D9C87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Nokia, Nokia Shanghai Bell</w:t>
            </w:r>
          </w:p>
        </w:tc>
      </w:tr>
      <w:tr w:rsidR="000F6988" w:rsidRPr="000F6988" w14:paraId="4D0A864E"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78E1FCC"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R3-224376</w:t>
            </w:r>
          </w:p>
        </w:tc>
        <w:tc>
          <w:tcPr>
            <w:tcW w:w="6160" w:type="dxa"/>
            <w:tcBorders>
              <w:top w:val="nil"/>
              <w:left w:val="nil"/>
              <w:bottom w:val="single" w:sz="4" w:space="0" w:color="A6A6A6"/>
              <w:right w:val="single" w:sz="4" w:space="0" w:color="A6A6A6"/>
            </w:tcBorders>
            <w:shd w:val="clear" w:color="auto" w:fill="auto"/>
            <w:hideMark/>
          </w:tcPr>
          <w:p w14:paraId="12668CE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 xml:space="preserve">IAB mobility </w:t>
            </w:r>
          </w:p>
        </w:tc>
        <w:tc>
          <w:tcPr>
            <w:tcW w:w="2260" w:type="dxa"/>
            <w:tcBorders>
              <w:top w:val="nil"/>
              <w:left w:val="nil"/>
              <w:bottom w:val="single" w:sz="4" w:space="0" w:color="A6A6A6"/>
              <w:right w:val="single" w:sz="4" w:space="0" w:color="A6A6A6"/>
            </w:tcBorders>
            <w:shd w:val="clear" w:color="auto" w:fill="auto"/>
            <w:hideMark/>
          </w:tcPr>
          <w:p w14:paraId="03396CA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Nokia, Nokia Shanghai Bell</w:t>
            </w:r>
          </w:p>
        </w:tc>
      </w:tr>
      <w:tr w:rsidR="000F6988" w:rsidRPr="000F6988" w14:paraId="65E2C449"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7CF424B"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R3-224377</w:t>
            </w:r>
          </w:p>
        </w:tc>
        <w:tc>
          <w:tcPr>
            <w:tcW w:w="6160" w:type="dxa"/>
            <w:tcBorders>
              <w:top w:val="nil"/>
              <w:left w:val="nil"/>
              <w:bottom w:val="single" w:sz="4" w:space="0" w:color="A6A6A6"/>
              <w:right w:val="single" w:sz="4" w:space="0" w:color="A6A6A6"/>
            </w:tcBorders>
            <w:shd w:val="clear" w:color="auto" w:fill="auto"/>
            <w:hideMark/>
          </w:tcPr>
          <w:p w14:paraId="552F0D90"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mobile IAB aspects based on dual-DU</w:t>
            </w:r>
          </w:p>
        </w:tc>
        <w:tc>
          <w:tcPr>
            <w:tcW w:w="2260" w:type="dxa"/>
            <w:tcBorders>
              <w:top w:val="nil"/>
              <w:left w:val="nil"/>
              <w:bottom w:val="single" w:sz="4" w:space="0" w:color="A6A6A6"/>
              <w:right w:val="single" w:sz="4" w:space="0" w:color="A6A6A6"/>
            </w:tcBorders>
            <w:shd w:val="clear" w:color="auto" w:fill="auto"/>
            <w:hideMark/>
          </w:tcPr>
          <w:p w14:paraId="092830B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Nokia, Nokia Shanghai Bell</w:t>
            </w:r>
          </w:p>
        </w:tc>
      </w:tr>
      <w:tr w:rsidR="000F6988" w:rsidRPr="000F6988" w14:paraId="0AEC4C23"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7910780"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R3-224378</w:t>
            </w:r>
          </w:p>
        </w:tc>
        <w:tc>
          <w:tcPr>
            <w:tcW w:w="6160" w:type="dxa"/>
            <w:tcBorders>
              <w:top w:val="nil"/>
              <w:left w:val="nil"/>
              <w:bottom w:val="single" w:sz="4" w:space="0" w:color="A6A6A6"/>
              <w:right w:val="single" w:sz="4" w:space="0" w:color="A6A6A6"/>
            </w:tcBorders>
            <w:shd w:val="clear" w:color="auto" w:fill="auto"/>
            <w:hideMark/>
          </w:tcPr>
          <w:p w14:paraId="21D99151"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mobility enhancements</w:t>
            </w:r>
          </w:p>
        </w:tc>
        <w:tc>
          <w:tcPr>
            <w:tcW w:w="2260" w:type="dxa"/>
            <w:tcBorders>
              <w:top w:val="nil"/>
              <w:left w:val="nil"/>
              <w:bottom w:val="single" w:sz="4" w:space="0" w:color="A6A6A6"/>
              <w:right w:val="single" w:sz="4" w:space="0" w:color="A6A6A6"/>
            </w:tcBorders>
            <w:shd w:val="clear" w:color="auto" w:fill="auto"/>
            <w:hideMark/>
          </w:tcPr>
          <w:p w14:paraId="32A8A5C5"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Nokia, Nokia Shanghai Bell</w:t>
            </w:r>
          </w:p>
        </w:tc>
      </w:tr>
      <w:tr w:rsidR="000F6988" w:rsidRPr="000F6988" w14:paraId="26CBD793"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6319ED4"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R3-224379</w:t>
            </w:r>
          </w:p>
        </w:tc>
        <w:tc>
          <w:tcPr>
            <w:tcW w:w="6160" w:type="dxa"/>
            <w:tcBorders>
              <w:top w:val="nil"/>
              <w:left w:val="nil"/>
              <w:bottom w:val="single" w:sz="4" w:space="0" w:color="A6A6A6"/>
              <w:right w:val="single" w:sz="4" w:space="0" w:color="A6A6A6"/>
            </w:tcBorders>
            <w:shd w:val="clear" w:color="auto" w:fill="auto"/>
            <w:hideMark/>
          </w:tcPr>
          <w:p w14:paraId="58A6E2C3"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Interference mitigation for mobile IAB</w:t>
            </w:r>
          </w:p>
        </w:tc>
        <w:tc>
          <w:tcPr>
            <w:tcW w:w="2260" w:type="dxa"/>
            <w:tcBorders>
              <w:top w:val="nil"/>
              <w:left w:val="nil"/>
              <w:bottom w:val="single" w:sz="4" w:space="0" w:color="A6A6A6"/>
              <w:right w:val="single" w:sz="4" w:space="0" w:color="A6A6A6"/>
            </w:tcBorders>
            <w:shd w:val="clear" w:color="auto" w:fill="auto"/>
            <w:hideMark/>
          </w:tcPr>
          <w:p w14:paraId="1556321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Nokia, Nokia Shanghai Bell</w:t>
            </w:r>
          </w:p>
        </w:tc>
      </w:tr>
      <w:tr w:rsidR="000F6988" w:rsidRPr="000F6988" w14:paraId="4FF9EB6E"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519DF9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R3-224428</w:t>
            </w:r>
          </w:p>
        </w:tc>
        <w:tc>
          <w:tcPr>
            <w:tcW w:w="6160" w:type="dxa"/>
            <w:tcBorders>
              <w:top w:val="nil"/>
              <w:left w:val="nil"/>
              <w:bottom w:val="single" w:sz="4" w:space="0" w:color="A6A6A6"/>
              <w:right w:val="single" w:sz="4" w:space="0" w:color="A6A6A6"/>
            </w:tcBorders>
            <w:shd w:val="clear" w:color="auto" w:fill="auto"/>
            <w:hideMark/>
          </w:tcPr>
          <w:p w14:paraId="7CA49998"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multi-hop backhauling for mobile IAB</w:t>
            </w:r>
          </w:p>
        </w:tc>
        <w:tc>
          <w:tcPr>
            <w:tcW w:w="2260" w:type="dxa"/>
            <w:tcBorders>
              <w:top w:val="nil"/>
              <w:left w:val="nil"/>
              <w:bottom w:val="single" w:sz="4" w:space="0" w:color="A6A6A6"/>
              <w:right w:val="single" w:sz="4" w:space="0" w:color="A6A6A6"/>
            </w:tcBorders>
            <w:shd w:val="clear" w:color="auto" w:fill="auto"/>
            <w:hideMark/>
          </w:tcPr>
          <w:p w14:paraId="51A55D52"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Lenovo</w:t>
            </w:r>
          </w:p>
        </w:tc>
      </w:tr>
      <w:tr w:rsidR="000F6988" w:rsidRPr="000F6988" w14:paraId="0C25CF3D"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1C9B03B"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R3-224429</w:t>
            </w:r>
          </w:p>
        </w:tc>
        <w:tc>
          <w:tcPr>
            <w:tcW w:w="6160" w:type="dxa"/>
            <w:tcBorders>
              <w:top w:val="nil"/>
              <w:left w:val="nil"/>
              <w:bottom w:val="single" w:sz="4" w:space="0" w:color="A6A6A6"/>
              <w:right w:val="single" w:sz="4" w:space="0" w:color="A6A6A6"/>
            </w:tcBorders>
            <w:shd w:val="clear" w:color="auto" w:fill="auto"/>
            <w:hideMark/>
          </w:tcPr>
          <w:p w14:paraId="717A9608"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Inter-donor full migration procedure of mobile IAB</w:t>
            </w:r>
          </w:p>
        </w:tc>
        <w:tc>
          <w:tcPr>
            <w:tcW w:w="2260" w:type="dxa"/>
            <w:tcBorders>
              <w:top w:val="nil"/>
              <w:left w:val="nil"/>
              <w:bottom w:val="single" w:sz="4" w:space="0" w:color="A6A6A6"/>
              <w:right w:val="single" w:sz="4" w:space="0" w:color="A6A6A6"/>
            </w:tcBorders>
            <w:shd w:val="clear" w:color="auto" w:fill="auto"/>
            <w:hideMark/>
          </w:tcPr>
          <w:p w14:paraId="06DA9F81"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Lenovo</w:t>
            </w:r>
          </w:p>
        </w:tc>
      </w:tr>
      <w:tr w:rsidR="000F6988" w:rsidRPr="000F6988" w14:paraId="570B10E9"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18C138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R3-224430</w:t>
            </w:r>
          </w:p>
        </w:tc>
        <w:tc>
          <w:tcPr>
            <w:tcW w:w="6160" w:type="dxa"/>
            <w:tcBorders>
              <w:top w:val="nil"/>
              <w:left w:val="nil"/>
              <w:bottom w:val="single" w:sz="4" w:space="0" w:color="A6A6A6"/>
              <w:right w:val="single" w:sz="4" w:space="0" w:color="A6A6A6"/>
            </w:tcBorders>
            <w:shd w:val="clear" w:color="auto" w:fill="auto"/>
            <w:hideMark/>
          </w:tcPr>
          <w:p w14:paraId="15D6F180"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Mobility enhancements for mobile IAB-node and its served UE</w:t>
            </w:r>
          </w:p>
        </w:tc>
        <w:tc>
          <w:tcPr>
            <w:tcW w:w="2260" w:type="dxa"/>
            <w:tcBorders>
              <w:top w:val="nil"/>
              <w:left w:val="nil"/>
              <w:bottom w:val="single" w:sz="4" w:space="0" w:color="A6A6A6"/>
              <w:right w:val="single" w:sz="4" w:space="0" w:color="A6A6A6"/>
            </w:tcBorders>
            <w:shd w:val="clear" w:color="auto" w:fill="auto"/>
            <w:hideMark/>
          </w:tcPr>
          <w:p w14:paraId="71FB76D7"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Lenovo</w:t>
            </w:r>
          </w:p>
        </w:tc>
      </w:tr>
      <w:tr w:rsidR="000F6988" w:rsidRPr="000F6988" w14:paraId="25CB0BD5"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E94AFC2"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R3-224431</w:t>
            </w:r>
          </w:p>
        </w:tc>
        <w:tc>
          <w:tcPr>
            <w:tcW w:w="6160" w:type="dxa"/>
            <w:tcBorders>
              <w:top w:val="nil"/>
              <w:left w:val="nil"/>
              <w:bottom w:val="single" w:sz="4" w:space="0" w:color="A6A6A6"/>
              <w:right w:val="single" w:sz="4" w:space="0" w:color="A6A6A6"/>
            </w:tcBorders>
            <w:shd w:val="clear" w:color="auto" w:fill="auto"/>
            <w:hideMark/>
          </w:tcPr>
          <w:p w14:paraId="09277BA6"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(TP to TS 38.401) Support for group mobility of mobile IAB-node.</w:t>
            </w:r>
          </w:p>
        </w:tc>
        <w:tc>
          <w:tcPr>
            <w:tcW w:w="2260" w:type="dxa"/>
            <w:tcBorders>
              <w:top w:val="nil"/>
              <w:left w:val="nil"/>
              <w:bottom w:val="single" w:sz="4" w:space="0" w:color="A6A6A6"/>
              <w:right w:val="single" w:sz="4" w:space="0" w:color="A6A6A6"/>
            </w:tcBorders>
            <w:shd w:val="clear" w:color="auto" w:fill="auto"/>
            <w:hideMark/>
          </w:tcPr>
          <w:p w14:paraId="4ABF3E6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Lenovo</w:t>
            </w:r>
          </w:p>
        </w:tc>
      </w:tr>
      <w:tr w:rsidR="000F6988" w:rsidRPr="000F6988" w14:paraId="4A423F54"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991A63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R3-224432</w:t>
            </w:r>
          </w:p>
        </w:tc>
        <w:tc>
          <w:tcPr>
            <w:tcW w:w="6160" w:type="dxa"/>
            <w:tcBorders>
              <w:top w:val="nil"/>
              <w:left w:val="nil"/>
              <w:bottom w:val="single" w:sz="4" w:space="0" w:color="A6A6A6"/>
              <w:right w:val="single" w:sz="4" w:space="0" w:color="A6A6A6"/>
            </w:tcBorders>
            <w:shd w:val="clear" w:color="auto" w:fill="auto"/>
            <w:hideMark/>
          </w:tcPr>
          <w:p w14:paraId="63A39DBE"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Interference mitigation of mobile IAB-node mobility</w:t>
            </w:r>
          </w:p>
        </w:tc>
        <w:tc>
          <w:tcPr>
            <w:tcW w:w="2260" w:type="dxa"/>
            <w:tcBorders>
              <w:top w:val="nil"/>
              <w:left w:val="nil"/>
              <w:bottom w:val="single" w:sz="4" w:space="0" w:color="A6A6A6"/>
              <w:right w:val="single" w:sz="4" w:space="0" w:color="A6A6A6"/>
            </w:tcBorders>
            <w:shd w:val="clear" w:color="auto" w:fill="auto"/>
            <w:hideMark/>
          </w:tcPr>
          <w:p w14:paraId="16E780B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Lenovo</w:t>
            </w:r>
          </w:p>
        </w:tc>
      </w:tr>
      <w:tr w:rsidR="000F6988" w:rsidRPr="000F6988" w14:paraId="2AC0E2A6"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6A845899"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R3-224495</w:t>
            </w:r>
          </w:p>
        </w:tc>
        <w:tc>
          <w:tcPr>
            <w:tcW w:w="6160" w:type="dxa"/>
            <w:tcBorders>
              <w:top w:val="nil"/>
              <w:left w:val="nil"/>
              <w:bottom w:val="single" w:sz="4" w:space="0" w:color="A6A6A6"/>
              <w:right w:val="single" w:sz="4" w:space="0" w:color="A6A6A6"/>
            </w:tcBorders>
            <w:shd w:val="clear" w:color="auto" w:fill="auto"/>
            <w:hideMark/>
          </w:tcPr>
          <w:p w14:paraId="7247D2AD"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Clarifications of Rel-18 Mobile IAB Work Item Scope</w:t>
            </w:r>
          </w:p>
        </w:tc>
        <w:tc>
          <w:tcPr>
            <w:tcW w:w="2260" w:type="dxa"/>
            <w:tcBorders>
              <w:top w:val="nil"/>
              <w:left w:val="nil"/>
              <w:bottom w:val="single" w:sz="4" w:space="0" w:color="A6A6A6"/>
              <w:right w:val="single" w:sz="4" w:space="0" w:color="A6A6A6"/>
            </w:tcBorders>
            <w:shd w:val="clear" w:color="auto" w:fill="auto"/>
            <w:hideMark/>
          </w:tcPr>
          <w:p w14:paraId="486A22A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Ericsson</w:t>
            </w:r>
          </w:p>
        </w:tc>
      </w:tr>
      <w:tr w:rsidR="000F6988" w:rsidRPr="000F6988" w14:paraId="39EE38DC"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4C3BCB1"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R3-224496</w:t>
            </w:r>
          </w:p>
        </w:tc>
        <w:tc>
          <w:tcPr>
            <w:tcW w:w="6160" w:type="dxa"/>
            <w:tcBorders>
              <w:top w:val="nil"/>
              <w:left w:val="nil"/>
              <w:bottom w:val="single" w:sz="4" w:space="0" w:color="A6A6A6"/>
              <w:right w:val="single" w:sz="4" w:space="0" w:color="A6A6A6"/>
            </w:tcBorders>
            <w:shd w:val="clear" w:color="auto" w:fill="auto"/>
            <w:hideMark/>
          </w:tcPr>
          <w:p w14:paraId="242AA998"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The Migration Procedure for Mobile IAB-Nodes</w:t>
            </w:r>
          </w:p>
        </w:tc>
        <w:tc>
          <w:tcPr>
            <w:tcW w:w="2260" w:type="dxa"/>
            <w:tcBorders>
              <w:top w:val="nil"/>
              <w:left w:val="nil"/>
              <w:bottom w:val="single" w:sz="4" w:space="0" w:color="A6A6A6"/>
              <w:right w:val="single" w:sz="4" w:space="0" w:color="A6A6A6"/>
            </w:tcBorders>
            <w:shd w:val="clear" w:color="auto" w:fill="auto"/>
            <w:hideMark/>
          </w:tcPr>
          <w:p w14:paraId="13B8F726"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Ericsson</w:t>
            </w:r>
          </w:p>
        </w:tc>
      </w:tr>
      <w:tr w:rsidR="000F6988" w:rsidRPr="000F6988" w14:paraId="25CDA984"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308116A"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R3-224497</w:t>
            </w:r>
          </w:p>
        </w:tc>
        <w:tc>
          <w:tcPr>
            <w:tcW w:w="6160" w:type="dxa"/>
            <w:tcBorders>
              <w:top w:val="nil"/>
              <w:left w:val="nil"/>
              <w:bottom w:val="single" w:sz="4" w:space="0" w:color="A6A6A6"/>
              <w:right w:val="single" w:sz="4" w:space="0" w:color="A6A6A6"/>
            </w:tcBorders>
            <w:shd w:val="clear" w:color="auto" w:fill="auto"/>
            <w:hideMark/>
          </w:tcPr>
          <w:p w14:paraId="6790B98A"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Enhancements for IAB-Node Mobility IAB</w:t>
            </w:r>
          </w:p>
        </w:tc>
        <w:tc>
          <w:tcPr>
            <w:tcW w:w="2260" w:type="dxa"/>
            <w:tcBorders>
              <w:top w:val="nil"/>
              <w:left w:val="nil"/>
              <w:bottom w:val="single" w:sz="4" w:space="0" w:color="A6A6A6"/>
              <w:right w:val="single" w:sz="4" w:space="0" w:color="A6A6A6"/>
            </w:tcBorders>
            <w:shd w:val="clear" w:color="auto" w:fill="auto"/>
            <w:hideMark/>
          </w:tcPr>
          <w:p w14:paraId="362ADF8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Ericsson</w:t>
            </w:r>
          </w:p>
        </w:tc>
      </w:tr>
      <w:tr w:rsidR="000F6988" w:rsidRPr="000F6988" w14:paraId="62FA85AC"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DECE945" w14:textId="77777777" w:rsidR="000F6988" w:rsidRPr="000F6988" w:rsidRDefault="000F6988" w:rsidP="000F6988">
            <w:pPr>
              <w:overflowPunct/>
              <w:autoSpaceDE/>
              <w:autoSpaceDN/>
              <w:adjustRightInd/>
              <w:spacing w:after="0"/>
              <w:textAlignment w:val="auto"/>
              <w:rPr>
                <w:rFonts w:ascii="Arial" w:hAnsi="Arial" w:cs="Arial"/>
                <w:color w:val="000000"/>
                <w:sz w:val="16"/>
                <w:szCs w:val="16"/>
                <w:lang w:val="en-US" w:eastAsia="en-US"/>
              </w:rPr>
            </w:pPr>
            <w:r w:rsidRPr="000F6988">
              <w:rPr>
                <w:rFonts w:ascii="Arial" w:hAnsi="Arial" w:cs="Arial"/>
                <w:color w:val="000000"/>
                <w:sz w:val="16"/>
                <w:szCs w:val="16"/>
                <w:lang w:val="en-US" w:eastAsia="en-US"/>
              </w:rPr>
              <w:t>R3-224498</w:t>
            </w:r>
          </w:p>
        </w:tc>
        <w:tc>
          <w:tcPr>
            <w:tcW w:w="6160" w:type="dxa"/>
            <w:tcBorders>
              <w:top w:val="nil"/>
              <w:left w:val="nil"/>
              <w:bottom w:val="single" w:sz="4" w:space="0" w:color="A6A6A6"/>
              <w:right w:val="single" w:sz="4" w:space="0" w:color="A6A6A6"/>
            </w:tcBorders>
            <w:shd w:val="clear" w:color="auto" w:fill="auto"/>
            <w:hideMark/>
          </w:tcPr>
          <w:p w14:paraId="64BDDE5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paper</w:t>
            </w:r>
          </w:p>
        </w:tc>
        <w:tc>
          <w:tcPr>
            <w:tcW w:w="2260" w:type="dxa"/>
            <w:tcBorders>
              <w:top w:val="nil"/>
              <w:left w:val="nil"/>
              <w:bottom w:val="single" w:sz="4" w:space="0" w:color="A6A6A6"/>
              <w:right w:val="single" w:sz="4" w:space="0" w:color="A6A6A6"/>
            </w:tcBorders>
            <w:shd w:val="clear" w:color="auto" w:fill="auto"/>
            <w:hideMark/>
          </w:tcPr>
          <w:p w14:paraId="6308C856"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Ericsson</w:t>
            </w:r>
          </w:p>
        </w:tc>
      </w:tr>
      <w:tr w:rsidR="000F6988" w:rsidRPr="000F6988" w14:paraId="15DA3D5C"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FE7100B"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R3-224499</w:t>
            </w:r>
          </w:p>
        </w:tc>
        <w:tc>
          <w:tcPr>
            <w:tcW w:w="6160" w:type="dxa"/>
            <w:tcBorders>
              <w:top w:val="nil"/>
              <w:left w:val="nil"/>
              <w:bottom w:val="single" w:sz="4" w:space="0" w:color="A6A6A6"/>
              <w:right w:val="single" w:sz="4" w:space="0" w:color="A6A6A6"/>
            </w:tcBorders>
            <w:shd w:val="clear" w:color="auto" w:fill="auto"/>
            <w:hideMark/>
          </w:tcPr>
          <w:p w14:paraId="1E5F59CE"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Mitigation of Interference and Reference Signal Collisions for Mobile IAB-Nodes</w:t>
            </w:r>
          </w:p>
        </w:tc>
        <w:tc>
          <w:tcPr>
            <w:tcW w:w="2260" w:type="dxa"/>
            <w:tcBorders>
              <w:top w:val="nil"/>
              <w:left w:val="nil"/>
              <w:bottom w:val="single" w:sz="4" w:space="0" w:color="A6A6A6"/>
              <w:right w:val="single" w:sz="4" w:space="0" w:color="A6A6A6"/>
            </w:tcBorders>
            <w:shd w:val="clear" w:color="auto" w:fill="auto"/>
            <w:hideMark/>
          </w:tcPr>
          <w:p w14:paraId="4B04E537"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Ericsson</w:t>
            </w:r>
          </w:p>
        </w:tc>
      </w:tr>
      <w:tr w:rsidR="000F6988" w:rsidRPr="000F6988" w14:paraId="07F588B1" w14:textId="77777777" w:rsidTr="000F698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7070A5BF"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R3-224502</w:t>
            </w:r>
          </w:p>
        </w:tc>
        <w:tc>
          <w:tcPr>
            <w:tcW w:w="6160" w:type="dxa"/>
            <w:tcBorders>
              <w:top w:val="nil"/>
              <w:left w:val="nil"/>
              <w:bottom w:val="single" w:sz="4" w:space="0" w:color="A6A6A6"/>
              <w:right w:val="single" w:sz="4" w:space="0" w:color="A6A6A6"/>
            </w:tcBorders>
            <w:shd w:val="clear" w:color="auto" w:fill="auto"/>
            <w:hideMark/>
          </w:tcPr>
          <w:p w14:paraId="2C937A7D"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Workplan for Rel-18 mobile IAB</w:t>
            </w:r>
          </w:p>
        </w:tc>
        <w:tc>
          <w:tcPr>
            <w:tcW w:w="2260" w:type="dxa"/>
            <w:tcBorders>
              <w:top w:val="nil"/>
              <w:left w:val="nil"/>
              <w:bottom w:val="single" w:sz="4" w:space="0" w:color="A6A6A6"/>
              <w:right w:val="single" w:sz="4" w:space="0" w:color="A6A6A6"/>
            </w:tcBorders>
            <w:shd w:val="clear" w:color="auto" w:fill="auto"/>
            <w:hideMark/>
          </w:tcPr>
          <w:p w14:paraId="30CEC8AE"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 (Rapporteur)</w:t>
            </w:r>
          </w:p>
        </w:tc>
      </w:tr>
      <w:tr w:rsidR="000F6988" w:rsidRPr="000F6988" w14:paraId="0940696E"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1899ABB"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R3-224504</w:t>
            </w:r>
          </w:p>
        </w:tc>
        <w:tc>
          <w:tcPr>
            <w:tcW w:w="6160" w:type="dxa"/>
            <w:tcBorders>
              <w:top w:val="nil"/>
              <w:left w:val="nil"/>
              <w:bottom w:val="single" w:sz="4" w:space="0" w:color="A6A6A6"/>
              <w:right w:val="single" w:sz="4" w:space="0" w:color="A6A6A6"/>
            </w:tcBorders>
            <w:shd w:val="clear" w:color="auto" w:fill="auto"/>
            <w:hideMark/>
          </w:tcPr>
          <w:p w14:paraId="4701ED1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Topology adaptation for mobile IAB</w:t>
            </w:r>
          </w:p>
        </w:tc>
        <w:tc>
          <w:tcPr>
            <w:tcW w:w="2260" w:type="dxa"/>
            <w:tcBorders>
              <w:top w:val="nil"/>
              <w:left w:val="nil"/>
              <w:bottom w:val="single" w:sz="4" w:space="0" w:color="A6A6A6"/>
              <w:right w:val="single" w:sz="4" w:space="0" w:color="A6A6A6"/>
            </w:tcBorders>
            <w:shd w:val="clear" w:color="auto" w:fill="auto"/>
            <w:hideMark/>
          </w:tcPr>
          <w:p w14:paraId="2FF29B66"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w:t>
            </w:r>
          </w:p>
        </w:tc>
      </w:tr>
      <w:tr w:rsidR="000F6988" w:rsidRPr="000F6988" w14:paraId="55E55D08"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7195E7B"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R3-224505</w:t>
            </w:r>
          </w:p>
        </w:tc>
        <w:tc>
          <w:tcPr>
            <w:tcW w:w="6160" w:type="dxa"/>
            <w:tcBorders>
              <w:top w:val="nil"/>
              <w:left w:val="nil"/>
              <w:bottom w:val="single" w:sz="4" w:space="0" w:color="A6A6A6"/>
              <w:right w:val="single" w:sz="4" w:space="0" w:color="A6A6A6"/>
            </w:tcBorders>
            <w:shd w:val="clear" w:color="auto" w:fill="auto"/>
            <w:hideMark/>
          </w:tcPr>
          <w:p w14:paraId="734A4D07"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 xml:space="preserve">Enhancements for mobility of IAB-node and </w:t>
            </w:r>
            <w:proofErr w:type="gramStart"/>
            <w:r w:rsidRPr="000F6988">
              <w:rPr>
                <w:rFonts w:ascii="Arial" w:hAnsi="Arial" w:cs="Arial"/>
                <w:sz w:val="16"/>
                <w:szCs w:val="16"/>
                <w:lang w:val="en-US" w:eastAsia="en-US"/>
              </w:rPr>
              <w:t>its</w:t>
            </w:r>
            <w:proofErr w:type="gramEnd"/>
            <w:r w:rsidRPr="000F6988">
              <w:rPr>
                <w:rFonts w:ascii="Arial" w:hAnsi="Arial" w:cs="Arial"/>
                <w:sz w:val="16"/>
                <w:szCs w:val="16"/>
                <w:lang w:val="en-US" w:eastAsia="en-US"/>
              </w:rPr>
              <w:t xml:space="preserve"> served UEs</w:t>
            </w:r>
          </w:p>
        </w:tc>
        <w:tc>
          <w:tcPr>
            <w:tcW w:w="2260" w:type="dxa"/>
            <w:tcBorders>
              <w:top w:val="nil"/>
              <w:left w:val="nil"/>
              <w:bottom w:val="single" w:sz="4" w:space="0" w:color="A6A6A6"/>
              <w:right w:val="single" w:sz="4" w:space="0" w:color="A6A6A6"/>
            </w:tcBorders>
            <w:shd w:val="clear" w:color="auto" w:fill="auto"/>
            <w:hideMark/>
          </w:tcPr>
          <w:p w14:paraId="0479F62A"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w:t>
            </w:r>
          </w:p>
        </w:tc>
      </w:tr>
      <w:tr w:rsidR="000F6988" w:rsidRPr="000F6988" w14:paraId="38E805A9"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B2EE973"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lastRenderedPageBreak/>
              <w:t>R3-224506</w:t>
            </w:r>
          </w:p>
        </w:tc>
        <w:tc>
          <w:tcPr>
            <w:tcW w:w="6160" w:type="dxa"/>
            <w:tcBorders>
              <w:top w:val="nil"/>
              <w:left w:val="nil"/>
              <w:bottom w:val="single" w:sz="4" w:space="0" w:color="A6A6A6"/>
              <w:right w:val="single" w:sz="4" w:space="0" w:color="A6A6A6"/>
            </w:tcBorders>
            <w:shd w:val="clear" w:color="auto" w:fill="auto"/>
            <w:hideMark/>
          </w:tcPr>
          <w:p w14:paraId="31BED00C"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PCI collision avoidance for mobile IAB</w:t>
            </w:r>
          </w:p>
        </w:tc>
        <w:tc>
          <w:tcPr>
            <w:tcW w:w="2260" w:type="dxa"/>
            <w:tcBorders>
              <w:top w:val="nil"/>
              <w:left w:val="nil"/>
              <w:bottom w:val="single" w:sz="4" w:space="0" w:color="A6A6A6"/>
              <w:right w:val="single" w:sz="4" w:space="0" w:color="A6A6A6"/>
            </w:tcBorders>
            <w:shd w:val="clear" w:color="auto" w:fill="auto"/>
            <w:hideMark/>
          </w:tcPr>
          <w:p w14:paraId="00402C16"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Qualcomm Inc.</w:t>
            </w:r>
          </w:p>
        </w:tc>
      </w:tr>
      <w:tr w:rsidR="000F6988" w:rsidRPr="000F6988" w14:paraId="1127B8DC"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82DEAA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R3-224704</w:t>
            </w:r>
          </w:p>
        </w:tc>
        <w:tc>
          <w:tcPr>
            <w:tcW w:w="6160" w:type="dxa"/>
            <w:tcBorders>
              <w:top w:val="nil"/>
              <w:left w:val="nil"/>
              <w:bottom w:val="single" w:sz="4" w:space="0" w:color="A6A6A6"/>
              <w:right w:val="single" w:sz="4" w:space="0" w:color="A6A6A6"/>
            </w:tcBorders>
            <w:shd w:val="clear" w:color="auto" w:fill="auto"/>
            <w:hideMark/>
          </w:tcPr>
          <w:p w14:paraId="5490E59C"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Support of intra-m-CU mobility</w:t>
            </w:r>
          </w:p>
        </w:tc>
        <w:tc>
          <w:tcPr>
            <w:tcW w:w="2260" w:type="dxa"/>
            <w:tcBorders>
              <w:top w:val="nil"/>
              <w:left w:val="nil"/>
              <w:bottom w:val="single" w:sz="4" w:space="0" w:color="A6A6A6"/>
              <w:right w:val="single" w:sz="4" w:space="0" w:color="A6A6A6"/>
            </w:tcBorders>
            <w:shd w:val="clear" w:color="auto" w:fill="auto"/>
            <w:hideMark/>
          </w:tcPr>
          <w:p w14:paraId="55C567B0"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Fujitsu</w:t>
            </w:r>
          </w:p>
        </w:tc>
      </w:tr>
      <w:tr w:rsidR="000F6988" w:rsidRPr="000F6988" w14:paraId="29BF5D0E"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BEB954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R3-224705</w:t>
            </w:r>
          </w:p>
        </w:tc>
        <w:tc>
          <w:tcPr>
            <w:tcW w:w="6160" w:type="dxa"/>
            <w:tcBorders>
              <w:top w:val="nil"/>
              <w:left w:val="nil"/>
              <w:bottom w:val="single" w:sz="4" w:space="0" w:color="A6A6A6"/>
              <w:right w:val="single" w:sz="4" w:space="0" w:color="A6A6A6"/>
            </w:tcBorders>
            <w:shd w:val="clear" w:color="auto" w:fill="auto"/>
            <w:hideMark/>
          </w:tcPr>
          <w:p w14:paraId="57CBB2D1"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IAB full migration</w:t>
            </w:r>
          </w:p>
        </w:tc>
        <w:tc>
          <w:tcPr>
            <w:tcW w:w="2260" w:type="dxa"/>
            <w:tcBorders>
              <w:top w:val="nil"/>
              <w:left w:val="nil"/>
              <w:bottom w:val="single" w:sz="4" w:space="0" w:color="A6A6A6"/>
              <w:right w:val="single" w:sz="4" w:space="0" w:color="A6A6A6"/>
            </w:tcBorders>
            <w:shd w:val="clear" w:color="auto" w:fill="auto"/>
            <w:hideMark/>
          </w:tcPr>
          <w:p w14:paraId="3C97E1D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Fujitsu</w:t>
            </w:r>
          </w:p>
        </w:tc>
      </w:tr>
      <w:tr w:rsidR="000F6988" w:rsidRPr="000F6988" w14:paraId="0E70DF66"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D61B02A"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R3-224706</w:t>
            </w:r>
          </w:p>
        </w:tc>
        <w:tc>
          <w:tcPr>
            <w:tcW w:w="6160" w:type="dxa"/>
            <w:tcBorders>
              <w:top w:val="nil"/>
              <w:left w:val="nil"/>
              <w:bottom w:val="single" w:sz="4" w:space="0" w:color="A6A6A6"/>
              <w:right w:val="single" w:sz="4" w:space="0" w:color="A6A6A6"/>
            </w:tcBorders>
            <w:shd w:val="clear" w:color="auto" w:fill="auto"/>
            <w:hideMark/>
          </w:tcPr>
          <w:p w14:paraId="17AFF91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Update of location information for cells of mobile IAB</w:t>
            </w:r>
          </w:p>
        </w:tc>
        <w:tc>
          <w:tcPr>
            <w:tcW w:w="2260" w:type="dxa"/>
            <w:tcBorders>
              <w:top w:val="nil"/>
              <w:left w:val="nil"/>
              <w:bottom w:val="single" w:sz="4" w:space="0" w:color="A6A6A6"/>
              <w:right w:val="single" w:sz="4" w:space="0" w:color="A6A6A6"/>
            </w:tcBorders>
            <w:shd w:val="clear" w:color="auto" w:fill="auto"/>
            <w:hideMark/>
          </w:tcPr>
          <w:p w14:paraId="54F3221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Fujitsu</w:t>
            </w:r>
          </w:p>
        </w:tc>
      </w:tr>
      <w:tr w:rsidR="000F6988" w:rsidRPr="000F6988" w14:paraId="1ED5ADEC"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1B370142"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R3-224707</w:t>
            </w:r>
          </w:p>
        </w:tc>
        <w:tc>
          <w:tcPr>
            <w:tcW w:w="6160" w:type="dxa"/>
            <w:tcBorders>
              <w:top w:val="nil"/>
              <w:left w:val="nil"/>
              <w:bottom w:val="single" w:sz="4" w:space="0" w:color="A6A6A6"/>
              <w:right w:val="single" w:sz="4" w:space="0" w:color="A6A6A6"/>
            </w:tcBorders>
            <w:shd w:val="clear" w:color="auto" w:fill="auto"/>
            <w:hideMark/>
          </w:tcPr>
          <w:p w14:paraId="2837F31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Avoidance of resource collisions due to IAB-node mobility</w:t>
            </w:r>
          </w:p>
        </w:tc>
        <w:tc>
          <w:tcPr>
            <w:tcW w:w="2260" w:type="dxa"/>
            <w:tcBorders>
              <w:top w:val="nil"/>
              <w:left w:val="nil"/>
              <w:bottom w:val="single" w:sz="4" w:space="0" w:color="A6A6A6"/>
              <w:right w:val="single" w:sz="4" w:space="0" w:color="A6A6A6"/>
            </w:tcBorders>
            <w:shd w:val="clear" w:color="auto" w:fill="auto"/>
            <w:hideMark/>
          </w:tcPr>
          <w:p w14:paraId="05761A25"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Fujitsu</w:t>
            </w:r>
          </w:p>
        </w:tc>
      </w:tr>
      <w:tr w:rsidR="000F6988" w:rsidRPr="000F6988" w14:paraId="58B6A4CB"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67DFE38"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R3-224710</w:t>
            </w:r>
          </w:p>
        </w:tc>
        <w:tc>
          <w:tcPr>
            <w:tcW w:w="6160" w:type="dxa"/>
            <w:tcBorders>
              <w:top w:val="nil"/>
              <w:left w:val="nil"/>
              <w:bottom w:val="single" w:sz="4" w:space="0" w:color="A6A6A6"/>
              <w:right w:val="single" w:sz="4" w:space="0" w:color="A6A6A6"/>
            </w:tcBorders>
            <w:shd w:val="clear" w:color="auto" w:fill="auto"/>
            <w:hideMark/>
          </w:tcPr>
          <w:p w14:paraId="2A8E68C3"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inter-donor full migration in mobile IAB scenario</w:t>
            </w:r>
          </w:p>
        </w:tc>
        <w:tc>
          <w:tcPr>
            <w:tcW w:w="2260" w:type="dxa"/>
            <w:tcBorders>
              <w:top w:val="nil"/>
              <w:left w:val="nil"/>
              <w:bottom w:val="single" w:sz="4" w:space="0" w:color="A6A6A6"/>
              <w:right w:val="single" w:sz="4" w:space="0" w:color="A6A6A6"/>
            </w:tcBorders>
            <w:shd w:val="clear" w:color="auto" w:fill="auto"/>
            <w:hideMark/>
          </w:tcPr>
          <w:p w14:paraId="3455C015"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ZTE</w:t>
            </w:r>
          </w:p>
        </w:tc>
      </w:tr>
      <w:tr w:rsidR="000F6988" w:rsidRPr="000F6988" w14:paraId="47E7482D"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1DCDE4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R3-224711</w:t>
            </w:r>
          </w:p>
        </w:tc>
        <w:tc>
          <w:tcPr>
            <w:tcW w:w="6160" w:type="dxa"/>
            <w:tcBorders>
              <w:top w:val="nil"/>
              <w:left w:val="nil"/>
              <w:bottom w:val="single" w:sz="4" w:space="0" w:color="A6A6A6"/>
              <w:right w:val="single" w:sz="4" w:space="0" w:color="A6A6A6"/>
            </w:tcBorders>
            <w:shd w:val="clear" w:color="auto" w:fill="auto"/>
            <w:hideMark/>
          </w:tcPr>
          <w:p w14:paraId="4149390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migration sequence of full migration procedure</w:t>
            </w:r>
          </w:p>
        </w:tc>
        <w:tc>
          <w:tcPr>
            <w:tcW w:w="2260" w:type="dxa"/>
            <w:tcBorders>
              <w:top w:val="nil"/>
              <w:left w:val="nil"/>
              <w:bottom w:val="single" w:sz="4" w:space="0" w:color="A6A6A6"/>
              <w:right w:val="single" w:sz="4" w:space="0" w:color="A6A6A6"/>
            </w:tcBorders>
            <w:shd w:val="clear" w:color="auto" w:fill="auto"/>
            <w:hideMark/>
          </w:tcPr>
          <w:p w14:paraId="311D30D6"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ZTE</w:t>
            </w:r>
          </w:p>
        </w:tc>
      </w:tr>
      <w:tr w:rsidR="000F6988" w:rsidRPr="000F6988" w14:paraId="6A7521C5"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EC8B64D"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R3-224712</w:t>
            </w:r>
          </w:p>
        </w:tc>
        <w:tc>
          <w:tcPr>
            <w:tcW w:w="6160" w:type="dxa"/>
            <w:tcBorders>
              <w:top w:val="nil"/>
              <w:left w:val="nil"/>
              <w:bottom w:val="single" w:sz="4" w:space="0" w:color="A6A6A6"/>
              <w:right w:val="single" w:sz="4" w:space="0" w:color="A6A6A6"/>
            </w:tcBorders>
            <w:shd w:val="clear" w:color="auto" w:fill="auto"/>
            <w:hideMark/>
          </w:tcPr>
          <w:p w14:paraId="4506542E"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Reduction of UE migration in mobile IAB scenario</w:t>
            </w:r>
          </w:p>
        </w:tc>
        <w:tc>
          <w:tcPr>
            <w:tcW w:w="2260" w:type="dxa"/>
            <w:tcBorders>
              <w:top w:val="nil"/>
              <w:left w:val="nil"/>
              <w:bottom w:val="single" w:sz="4" w:space="0" w:color="A6A6A6"/>
              <w:right w:val="single" w:sz="4" w:space="0" w:color="A6A6A6"/>
            </w:tcBorders>
            <w:shd w:val="clear" w:color="auto" w:fill="auto"/>
            <w:hideMark/>
          </w:tcPr>
          <w:p w14:paraId="1ED848FF"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ZTE</w:t>
            </w:r>
          </w:p>
        </w:tc>
      </w:tr>
      <w:tr w:rsidR="000F6988" w:rsidRPr="000F6988" w14:paraId="17A19792"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A9D792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R3-224713</w:t>
            </w:r>
          </w:p>
        </w:tc>
        <w:tc>
          <w:tcPr>
            <w:tcW w:w="6160" w:type="dxa"/>
            <w:tcBorders>
              <w:top w:val="nil"/>
              <w:left w:val="nil"/>
              <w:bottom w:val="single" w:sz="4" w:space="0" w:color="A6A6A6"/>
              <w:right w:val="single" w:sz="4" w:space="0" w:color="A6A6A6"/>
            </w:tcBorders>
            <w:shd w:val="clear" w:color="auto" w:fill="auto"/>
            <w:hideMark/>
          </w:tcPr>
          <w:p w14:paraId="763EA1CA"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location update of UEs served by mobile IAB</w:t>
            </w:r>
          </w:p>
        </w:tc>
        <w:tc>
          <w:tcPr>
            <w:tcW w:w="2260" w:type="dxa"/>
            <w:tcBorders>
              <w:top w:val="nil"/>
              <w:left w:val="nil"/>
              <w:bottom w:val="single" w:sz="4" w:space="0" w:color="A6A6A6"/>
              <w:right w:val="single" w:sz="4" w:space="0" w:color="A6A6A6"/>
            </w:tcBorders>
            <w:shd w:val="clear" w:color="auto" w:fill="auto"/>
            <w:hideMark/>
          </w:tcPr>
          <w:p w14:paraId="5BD1B88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ZTE</w:t>
            </w:r>
          </w:p>
        </w:tc>
      </w:tr>
      <w:tr w:rsidR="000F6988" w:rsidRPr="000F6988" w14:paraId="628113C7"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D40852C"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R3-224714</w:t>
            </w:r>
          </w:p>
        </w:tc>
        <w:tc>
          <w:tcPr>
            <w:tcW w:w="6160" w:type="dxa"/>
            <w:tcBorders>
              <w:top w:val="nil"/>
              <w:left w:val="nil"/>
              <w:bottom w:val="single" w:sz="4" w:space="0" w:color="A6A6A6"/>
              <w:right w:val="single" w:sz="4" w:space="0" w:color="A6A6A6"/>
            </w:tcBorders>
            <w:shd w:val="clear" w:color="auto" w:fill="auto"/>
            <w:hideMark/>
          </w:tcPr>
          <w:p w14:paraId="1F41A741"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mitigation of interference in mobile IAB scenario</w:t>
            </w:r>
          </w:p>
        </w:tc>
        <w:tc>
          <w:tcPr>
            <w:tcW w:w="2260" w:type="dxa"/>
            <w:tcBorders>
              <w:top w:val="nil"/>
              <w:left w:val="nil"/>
              <w:bottom w:val="single" w:sz="4" w:space="0" w:color="A6A6A6"/>
              <w:right w:val="single" w:sz="4" w:space="0" w:color="A6A6A6"/>
            </w:tcBorders>
            <w:shd w:val="clear" w:color="auto" w:fill="auto"/>
            <w:hideMark/>
          </w:tcPr>
          <w:p w14:paraId="34BA19EB"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ZTE</w:t>
            </w:r>
          </w:p>
        </w:tc>
      </w:tr>
      <w:tr w:rsidR="000F6988" w:rsidRPr="000F6988" w14:paraId="15554604"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CE0971B"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R3-224767</w:t>
            </w:r>
          </w:p>
        </w:tc>
        <w:tc>
          <w:tcPr>
            <w:tcW w:w="6160" w:type="dxa"/>
            <w:tcBorders>
              <w:top w:val="nil"/>
              <w:left w:val="nil"/>
              <w:bottom w:val="single" w:sz="4" w:space="0" w:color="A6A6A6"/>
              <w:right w:val="single" w:sz="4" w:space="0" w:color="A6A6A6"/>
            </w:tcBorders>
            <w:shd w:val="clear" w:color="auto" w:fill="auto"/>
            <w:hideMark/>
          </w:tcPr>
          <w:p w14:paraId="1F11AA2C"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IAB full migration</w:t>
            </w:r>
          </w:p>
        </w:tc>
        <w:tc>
          <w:tcPr>
            <w:tcW w:w="2260" w:type="dxa"/>
            <w:tcBorders>
              <w:top w:val="nil"/>
              <w:left w:val="nil"/>
              <w:bottom w:val="single" w:sz="4" w:space="0" w:color="A6A6A6"/>
              <w:right w:val="single" w:sz="4" w:space="0" w:color="A6A6A6"/>
            </w:tcBorders>
            <w:shd w:val="clear" w:color="auto" w:fill="auto"/>
            <w:hideMark/>
          </w:tcPr>
          <w:p w14:paraId="03BA18C7"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Xiaomi</w:t>
            </w:r>
          </w:p>
        </w:tc>
      </w:tr>
      <w:tr w:rsidR="000F6988" w:rsidRPr="000F6988" w14:paraId="43028A1F"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36BB204"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R3-224768</w:t>
            </w:r>
          </w:p>
        </w:tc>
        <w:tc>
          <w:tcPr>
            <w:tcW w:w="6160" w:type="dxa"/>
            <w:tcBorders>
              <w:top w:val="nil"/>
              <w:left w:val="nil"/>
              <w:bottom w:val="single" w:sz="4" w:space="0" w:color="A6A6A6"/>
              <w:right w:val="single" w:sz="4" w:space="0" w:color="A6A6A6"/>
            </w:tcBorders>
            <w:shd w:val="clear" w:color="auto" w:fill="auto"/>
            <w:hideMark/>
          </w:tcPr>
          <w:p w14:paraId="5598FD86"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group mobility</w:t>
            </w:r>
          </w:p>
        </w:tc>
        <w:tc>
          <w:tcPr>
            <w:tcW w:w="2260" w:type="dxa"/>
            <w:tcBorders>
              <w:top w:val="nil"/>
              <w:left w:val="nil"/>
              <w:bottom w:val="single" w:sz="4" w:space="0" w:color="A6A6A6"/>
              <w:right w:val="single" w:sz="4" w:space="0" w:color="A6A6A6"/>
            </w:tcBorders>
            <w:shd w:val="clear" w:color="auto" w:fill="auto"/>
            <w:hideMark/>
          </w:tcPr>
          <w:p w14:paraId="6942CEC0"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Xiaomi</w:t>
            </w:r>
          </w:p>
        </w:tc>
      </w:tr>
      <w:tr w:rsidR="000F6988" w:rsidRPr="000F6988" w14:paraId="112C933C"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3799017"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R3-224769</w:t>
            </w:r>
          </w:p>
        </w:tc>
        <w:tc>
          <w:tcPr>
            <w:tcW w:w="6160" w:type="dxa"/>
            <w:tcBorders>
              <w:top w:val="nil"/>
              <w:left w:val="nil"/>
              <w:bottom w:val="single" w:sz="4" w:space="0" w:color="A6A6A6"/>
              <w:right w:val="single" w:sz="4" w:space="0" w:color="A6A6A6"/>
            </w:tcBorders>
            <w:shd w:val="clear" w:color="auto" w:fill="auto"/>
            <w:hideMark/>
          </w:tcPr>
          <w:p w14:paraId="7999B179"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mitigation of interference</w:t>
            </w:r>
          </w:p>
        </w:tc>
        <w:tc>
          <w:tcPr>
            <w:tcW w:w="2260" w:type="dxa"/>
            <w:tcBorders>
              <w:top w:val="nil"/>
              <w:left w:val="nil"/>
              <w:bottom w:val="single" w:sz="4" w:space="0" w:color="A6A6A6"/>
              <w:right w:val="single" w:sz="4" w:space="0" w:color="A6A6A6"/>
            </w:tcBorders>
            <w:shd w:val="clear" w:color="auto" w:fill="auto"/>
            <w:hideMark/>
          </w:tcPr>
          <w:p w14:paraId="183A571C"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Xiaomi</w:t>
            </w:r>
          </w:p>
        </w:tc>
      </w:tr>
      <w:tr w:rsidR="000F6988" w:rsidRPr="000F6988" w14:paraId="70FFA39A"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61911E7"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R3-224777</w:t>
            </w:r>
          </w:p>
        </w:tc>
        <w:tc>
          <w:tcPr>
            <w:tcW w:w="6160" w:type="dxa"/>
            <w:tcBorders>
              <w:top w:val="nil"/>
              <w:left w:val="nil"/>
              <w:bottom w:val="single" w:sz="4" w:space="0" w:color="A6A6A6"/>
              <w:right w:val="single" w:sz="4" w:space="0" w:color="A6A6A6"/>
            </w:tcBorders>
            <w:shd w:val="clear" w:color="auto" w:fill="auto"/>
            <w:hideMark/>
          </w:tcPr>
          <w:p w14:paraId="3AD0B218"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Full Migration of mobile IAB-node</w:t>
            </w:r>
          </w:p>
        </w:tc>
        <w:tc>
          <w:tcPr>
            <w:tcW w:w="2260" w:type="dxa"/>
            <w:tcBorders>
              <w:top w:val="nil"/>
              <w:left w:val="nil"/>
              <w:bottom w:val="single" w:sz="4" w:space="0" w:color="A6A6A6"/>
              <w:right w:val="single" w:sz="4" w:space="0" w:color="A6A6A6"/>
            </w:tcBorders>
            <w:shd w:val="clear" w:color="auto" w:fill="auto"/>
            <w:hideMark/>
          </w:tcPr>
          <w:p w14:paraId="734D2133"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Intel Corporation</w:t>
            </w:r>
          </w:p>
        </w:tc>
      </w:tr>
      <w:tr w:rsidR="000F6988" w:rsidRPr="000F6988" w14:paraId="6BF5077B" w14:textId="77777777" w:rsidTr="000F698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A343160"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R3-224786</w:t>
            </w:r>
          </w:p>
        </w:tc>
        <w:tc>
          <w:tcPr>
            <w:tcW w:w="6160" w:type="dxa"/>
            <w:tcBorders>
              <w:top w:val="nil"/>
              <w:left w:val="nil"/>
              <w:bottom w:val="single" w:sz="4" w:space="0" w:color="A6A6A6"/>
              <w:right w:val="single" w:sz="4" w:space="0" w:color="A6A6A6"/>
            </w:tcBorders>
            <w:shd w:val="clear" w:color="auto" w:fill="auto"/>
            <w:hideMark/>
          </w:tcPr>
          <w:p w14:paraId="5F56EF0A"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multi-hop scenario for mobile IAB-node</w:t>
            </w:r>
          </w:p>
        </w:tc>
        <w:tc>
          <w:tcPr>
            <w:tcW w:w="2260" w:type="dxa"/>
            <w:tcBorders>
              <w:top w:val="nil"/>
              <w:left w:val="nil"/>
              <w:bottom w:val="single" w:sz="4" w:space="0" w:color="A6A6A6"/>
              <w:right w:val="single" w:sz="4" w:space="0" w:color="A6A6A6"/>
            </w:tcBorders>
            <w:shd w:val="clear" w:color="auto" w:fill="auto"/>
            <w:hideMark/>
          </w:tcPr>
          <w:p w14:paraId="251D3132"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Intel Corporation, Qualcomm, Huawei, Ericsson, Nokia, InterDigital</w:t>
            </w:r>
          </w:p>
        </w:tc>
      </w:tr>
      <w:tr w:rsidR="000F6988" w:rsidRPr="000F6988" w14:paraId="6A6F7447"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22CDBFE"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R3-224825</w:t>
            </w:r>
          </w:p>
        </w:tc>
        <w:tc>
          <w:tcPr>
            <w:tcW w:w="6160" w:type="dxa"/>
            <w:tcBorders>
              <w:top w:val="nil"/>
              <w:left w:val="nil"/>
              <w:bottom w:val="single" w:sz="4" w:space="0" w:color="A6A6A6"/>
              <w:right w:val="single" w:sz="4" w:space="0" w:color="A6A6A6"/>
            </w:tcBorders>
            <w:shd w:val="clear" w:color="auto" w:fill="auto"/>
            <w:hideMark/>
          </w:tcPr>
          <w:p w14:paraId="7E005EBC"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potential complexity of single-hop and multi-hop scenarios</w:t>
            </w:r>
          </w:p>
        </w:tc>
        <w:tc>
          <w:tcPr>
            <w:tcW w:w="2260" w:type="dxa"/>
            <w:tcBorders>
              <w:top w:val="nil"/>
              <w:left w:val="nil"/>
              <w:bottom w:val="single" w:sz="4" w:space="0" w:color="A6A6A6"/>
              <w:right w:val="single" w:sz="4" w:space="0" w:color="A6A6A6"/>
            </w:tcBorders>
            <w:shd w:val="clear" w:color="auto" w:fill="auto"/>
            <w:hideMark/>
          </w:tcPr>
          <w:p w14:paraId="6F3F4CBA"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samsung</w:t>
            </w:r>
          </w:p>
        </w:tc>
      </w:tr>
      <w:tr w:rsidR="000F6988" w:rsidRPr="000F6988" w14:paraId="385D34A6"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0CCB99C"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R3-224826</w:t>
            </w:r>
          </w:p>
        </w:tc>
        <w:tc>
          <w:tcPr>
            <w:tcW w:w="6160" w:type="dxa"/>
            <w:tcBorders>
              <w:top w:val="nil"/>
              <w:left w:val="nil"/>
              <w:bottom w:val="single" w:sz="4" w:space="0" w:color="A6A6A6"/>
              <w:right w:val="single" w:sz="4" w:space="0" w:color="A6A6A6"/>
            </w:tcBorders>
            <w:shd w:val="clear" w:color="auto" w:fill="auto"/>
            <w:hideMark/>
          </w:tcPr>
          <w:p w14:paraId="58F96C23"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full migration procedure</w:t>
            </w:r>
          </w:p>
        </w:tc>
        <w:tc>
          <w:tcPr>
            <w:tcW w:w="2260" w:type="dxa"/>
            <w:tcBorders>
              <w:top w:val="nil"/>
              <w:left w:val="nil"/>
              <w:bottom w:val="single" w:sz="4" w:space="0" w:color="A6A6A6"/>
              <w:right w:val="single" w:sz="4" w:space="0" w:color="A6A6A6"/>
            </w:tcBorders>
            <w:shd w:val="clear" w:color="auto" w:fill="auto"/>
            <w:hideMark/>
          </w:tcPr>
          <w:p w14:paraId="73B66C1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samsung</w:t>
            </w:r>
          </w:p>
        </w:tc>
      </w:tr>
      <w:tr w:rsidR="000F6988" w:rsidRPr="000F6988" w14:paraId="3732952A"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6AB9A808"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R3-224827</w:t>
            </w:r>
          </w:p>
        </w:tc>
        <w:tc>
          <w:tcPr>
            <w:tcW w:w="6160" w:type="dxa"/>
            <w:tcBorders>
              <w:top w:val="nil"/>
              <w:left w:val="nil"/>
              <w:bottom w:val="single" w:sz="4" w:space="0" w:color="A6A6A6"/>
              <w:right w:val="single" w:sz="4" w:space="0" w:color="A6A6A6"/>
            </w:tcBorders>
            <w:shd w:val="clear" w:color="auto" w:fill="auto"/>
            <w:hideMark/>
          </w:tcPr>
          <w:p w14:paraId="6F70320A"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mobility enhancements</w:t>
            </w:r>
          </w:p>
        </w:tc>
        <w:tc>
          <w:tcPr>
            <w:tcW w:w="2260" w:type="dxa"/>
            <w:tcBorders>
              <w:top w:val="nil"/>
              <w:left w:val="nil"/>
              <w:bottom w:val="single" w:sz="4" w:space="0" w:color="A6A6A6"/>
              <w:right w:val="single" w:sz="4" w:space="0" w:color="A6A6A6"/>
            </w:tcBorders>
            <w:shd w:val="clear" w:color="auto" w:fill="auto"/>
            <w:hideMark/>
          </w:tcPr>
          <w:p w14:paraId="3E3CA27E"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samsung</w:t>
            </w:r>
          </w:p>
        </w:tc>
      </w:tr>
      <w:tr w:rsidR="000F6988" w:rsidRPr="000F6988" w14:paraId="1D2D92A9" w14:textId="77777777" w:rsidTr="000F698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A913A7C" w14:textId="77777777" w:rsidR="000F6988" w:rsidRPr="000F6988" w:rsidRDefault="000F6988" w:rsidP="000F6988">
            <w:pPr>
              <w:overflowPunct/>
              <w:autoSpaceDE/>
              <w:autoSpaceDN/>
              <w:adjustRightInd/>
              <w:spacing w:after="0"/>
              <w:textAlignment w:val="auto"/>
              <w:rPr>
                <w:rFonts w:ascii="Arial" w:hAnsi="Arial" w:cs="Arial"/>
                <w:b/>
                <w:bCs/>
                <w:color w:val="0000FF"/>
                <w:sz w:val="16"/>
                <w:szCs w:val="16"/>
                <w:u w:val="single"/>
                <w:lang w:val="en-US" w:eastAsia="en-US"/>
              </w:rPr>
            </w:pPr>
            <w:r w:rsidRPr="000F6988">
              <w:rPr>
                <w:rFonts w:ascii="Arial" w:hAnsi="Arial" w:cs="Arial"/>
                <w:b/>
                <w:bCs/>
                <w:color w:val="0000FF"/>
                <w:sz w:val="16"/>
                <w:szCs w:val="16"/>
                <w:u w:val="single"/>
                <w:lang w:val="en-US" w:eastAsia="en-US"/>
              </w:rPr>
              <w:t>R3-224828</w:t>
            </w:r>
          </w:p>
        </w:tc>
        <w:tc>
          <w:tcPr>
            <w:tcW w:w="6160" w:type="dxa"/>
            <w:tcBorders>
              <w:top w:val="nil"/>
              <w:left w:val="nil"/>
              <w:bottom w:val="single" w:sz="4" w:space="0" w:color="A6A6A6"/>
              <w:right w:val="single" w:sz="4" w:space="0" w:color="A6A6A6"/>
            </w:tcBorders>
            <w:shd w:val="clear" w:color="auto" w:fill="auto"/>
            <w:hideMark/>
          </w:tcPr>
          <w:p w14:paraId="207D72CD"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Discussion on mitigation of interference</w:t>
            </w:r>
          </w:p>
        </w:tc>
        <w:tc>
          <w:tcPr>
            <w:tcW w:w="2260" w:type="dxa"/>
            <w:tcBorders>
              <w:top w:val="nil"/>
              <w:left w:val="nil"/>
              <w:bottom w:val="single" w:sz="4" w:space="0" w:color="A6A6A6"/>
              <w:right w:val="single" w:sz="4" w:space="0" w:color="A6A6A6"/>
            </w:tcBorders>
            <w:shd w:val="clear" w:color="auto" w:fill="auto"/>
            <w:hideMark/>
          </w:tcPr>
          <w:p w14:paraId="07A9EE74" w14:textId="77777777" w:rsidR="000F6988" w:rsidRPr="000F6988" w:rsidRDefault="000F6988" w:rsidP="000F6988">
            <w:pPr>
              <w:overflowPunct/>
              <w:autoSpaceDE/>
              <w:autoSpaceDN/>
              <w:adjustRightInd/>
              <w:spacing w:after="0"/>
              <w:textAlignment w:val="auto"/>
              <w:rPr>
                <w:rFonts w:ascii="Arial" w:hAnsi="Arial" w:cs="Arial"/>
                <w:sz w:val="16"/>
                <w:szCs w:val="16"/>
                <w:lang w:val="en-US" w:eastAsia="en-US"/>
              </w:rPr>
            </w:pPr>
            <w:r w:rsidRPr="000F6988">
              <w:rPr>
                <w:rFonts w:ascii="Arial" w:hAnsi="Arial" w:cs="Arial"/>
                <w:sz w:val="16"/>
                <w:szCs w:val="16"/>
                <w:lang w:val="en-US" w:eastAsia="en-US"/>
              </w:rPr>
              <w:t>samsung</w:t>
            </w:r>
          </w:p>
        </w:tc>
      </w:tr>
    </w:tbl>
    <w:p w14:paraId="093ECCC2" w14:textId="77777777" w:rsidR="008340B9" w:rsidRPr="003E3A1A" w:rsidRDefault="008340B9"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AD73D" w14:textId="77777777" w:rsidR="00A51C92" w:rsidRDefault="00A51C92">
      <w:r>
        <w:separator/>
      </w:r>
    </w:p>
  </w:endnote>
  <w:endnote w:type="continuationSeparator" w:id="0">
    <w:p w14:paraId="077C5280" w14:textId="77777777" w:rsidR="00A51C92" w:rsidRDefault="00A5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E81FD" w14:textId="77777777" w:rsidR="00A51C92" w:rsidRDefault="00A51C92">
      <w:r>
        <w:separator/>
      </w:r>
    </w:p>
  </w:footnote>
  <w:footnote w:type="continuationSeparator" w:id="0">
    <w:p w14:paraId="2B59BC99" w14:textId="77777777" w:rsidR="00A51C92" w:rsidRDefault="00A51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CD45E8"/>
    <w:multiLevelType w:val="hybridMultilevel"/>
    <w:tmpl w:val="3D2AE27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4C174A"/>
    <w:multiLevelType w:val="hybridMultilevel"/>
    <w:tmpl w:val="A2EE3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435489"/>
    <w:multiLevelType w:val="hybridMultilevel"/>
    <w:tmpl w:val="C28E3D1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5"/>
  </w:num>
  <w:num w:numId="5">
    <w:abstractNumId w:val="8"/>
  </w:num>
  <w:num w:numId="6">
    <w:abstractNumId w:val="20"/>
  </w:num>
  <w:num w:numId="7">
    <w:abstractNumId w:val="2"/>
  </w:num>
  <w:num w:numId="8">
    <w:abstractNumId w:val="7"/>
  </w:num>
  <w:num w:numId="9">
    <w:abstractNumId w:val="13"/>
  </w:num>
  <w:num w:numId="10">
    <w:abstractNumId w:val="21"/>
  </w:num>
  <w:num w:numId="11">
    <w:abstractNumId w:val="14"/>
  </w:num>
  <w:num w:numId="12">
    <w:abstractNumId w:val="12"/>
  </w:num>
  <w:num w:numId="13">
    <w:abstractNumId w:val="18"/>
  </w:num>
  <w:num w:numId="14">
    <w:abstractNumId w:val="5"/>
  </w:num>
  <w:num w:numId="15">
    <w:abstractNumId w:val="11"/>
  </w:num>
  <w:num w:numId="16">
    <w:abstractNumId w:val="4"/>
  </w:num>
  <w:num w:numId="17">
    <w:abstractNumId w:val="10"/>
  </w:num>
  <w:num w:numId="18">
    <w:abstractNumId w:val="6"/>
  </w:num>
  <w:num w:numId="19">
    <w:abstractNumId w:val="17"/>
  </w:num>
  <w:num w:numId="20">
    <w:abstractNumId w:val="3"/>
  </w:num>
  <w:num w:numId="21">
    <w:abstractNumId w:val="16"/>
  </w:num>
  <w:num w:numId="22">
    <w:abstractNumId w:val="1"/>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1E5D"/>
    <w:rsid w:val="000F6988"/>
    <w:rsid w:val="000F6C1C"/>
    <w:rsid w:val="00110BAE"/>
    <w:rsid w:val="00116F4B"/>
    <w:rsid w:val="001229F4"/>
    <w:rsid w:val="00130923"/>
    <w:rsid w:val="00137471"/>
    <w:rsid w:val="00147398"/>
    <w:rsid w:val="00150FD3"/>
    <w:rsid w:val="0015274D"/>
    <w:rsid w:val="00161517"/>
    <w:rsid w:val="00184428"/>
    <w:rsid w:val="001A248F"/>
    <w:rsid w:val="001A3B5F"/>
    <w:rsid w:val="001A659D"/>
    <w:rsid w:val="001B51AB"/>
    <w:rsid w:val="001B5CA8"/>
    <w:rsid w:val="001C1EE8"/>
    <w:rsid w:val="001C4490"/>
    <w:rsid w:val="001D2C1A"/>
    <w:rsid w:val="001D3BA2"/>
    <w:rsid w:val="001D44B7"/>
    <w:rsid w:val="001E0075"/>
    <w:rsid w:val="001E4E22"/>
    <w:rsid w:val="001F1B1F"/>
    <w:rsid w:val="001F2A20"/>
    <w:rsid w:val="001F486F"/>
    <w:rsid w:val="0020077E"/>
    <w:rsid w:val="00207DC4"/>
    <w:rsid w:val="00224305"/>
    <w:rsid w:val="0022485E"/>
    <w:rsid w:val="00243A99"/>
    <w:rsid w:val="00261F7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586"/>
    <w:rsid w:val="003A4B47"/>
    <w:rsid w:val="003A532C"/>
    <w:rsid w:val="003B24AF"/>
    <w:rsid w:val="003B7182"/>
    <w:rsid w:val="003C4667"/>
    <w:rsid w:val="003D5036"/>
    <w:rsid w:val="003D764D"/>
    <w:rsid w:val="003E3A1A"/>
    <w:rsid w:val="003F1B9F"/>
    <w:rsid w:val="0040091C"/>
    <w:rsid w:val="00406D7A"/>
    <w:rsid w:val="004121B8"/>
    <w:rsid w:val="00422F19"/>
    <w:rsid w:val="004258BA"/>
    <w:rsid w:val="004415DF"/>
    <w:rsid w:val="004531C9"/>
    <w:rsid w:val="00457D91"/>
    <w:rsid w:val="00460C31"/>
    <w:rsid w:val="00464E5B"/>
    <w:rsid w:val="0047055A"/>
    <w:rsid w:val="00474450"/>
    <w:rsid w:val="004873E6"/>
    <w:rsid w:val="00497934"/>
    <w:rsid w:val="004B15B8"/>
    <w:rsid w:val="004B566C"/>
    <w:rsid w:val="004B7B48"/>
    <w:rsid w:val="004D2B97"/>
    <w:rsid w:val="004D4AB1"/>
    <w:rsid w:val="004F218A"/>
    <w:rsid w:val="0050334E"/>
    <w:rsid w:val="00505387"/>
    <w:rsid w:val="00512DF7"/>
    <w:rsid w:val="005141E7"/>
    <w:rsid w:val="00517E63"/>
    <w:rsid w:val="00526B0D"/>
    <w:rsid w:val="00535A04"/>
    <w:rsid w:val="0055319C"/>
    <w:rsid w:val="0055346F"/>
    <w:rsid w:val="005579FF"/>
    <w:rsid w:val="005776DD"/>
    <w:rsid w:val="00582117"/>
    <w:rsid w:val="0058478F"/>
    <w:rsid w:val="00593315"/>
    <w:rsid w:val="005A170D"/>
    <w:rsid w:val="005A6C96"/>
    <w:rsid w:val="005D0418"/>
    <w:rsid w:val="005E1D58"/>
    <w:rsid w:val="00610E37"/>
    <w:rsid w:val="006207ED"/>
    <w:rsid w:val="00626704"/>
    <w:rsid w:val="00626BC9"/>
    <w:rsid w:val="006458DF"/>
    <w:rsid w:val="00650D52"/>
    <w:rsid w:val="006615B2"/>
    <w:rsid w:val="00662313"/>
    <w:rsid w:val="00673911"/>
    <w:rsid w:val="006870C9"/>
    <w:rsid w:val="006A3ADF"/>
    <w:rsid w:val="006A729B"/>
    <w:rsid w:val="006A7BCB"/>
    <w:rsid w:val="006B4C1E"/>
    <w:rsid w:val="006C090F"/>
    <w:rsid w:val="006C191D"/>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40B9"/>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60BE"/>
    <w:rsid w:val="0091408E"/>
    <w:rsid w:val="00916F56"/>
    <w:rsid w:val="0092385C"/>
    <w:rsid w:val="009378CA"/>
    <w:rsid w:val="00941BB2"/>
    <w:rsid w:val="0095025E"/>
    <w:rsid w:val="00955C4C"/>
    <w:rsid w:val="00983C1F"/>
    <w:rsid w:val="00995338"/>
    <w:rsid w:val="00996777"/>
    <w:rsid w:val="009C0BC7"/>
    <w:rsid w:val="009C6592"/>
    <w:rsid w:val="009E209B"/>
    <w:rsid w:val="009E7473"/>
    <w:rsid w:val="009F04B2"/>
    <w:rsid w:val="009F0747"/>
    <w:rsid w:val="00A03514"/>
    <w:rsid w:val="00A17079"/>
    <w:rsid w:val="00A4318E"/>
    <w:rsid w:val="00A448C3"/>
    <w:rsid w:val="00A458D4"/>
    <w:rsid w:val="00A46FB7"/>
    <w:rsid w:val="00A51C92"/>
    <w:rsid w:val="00A53118"/>
    <w:rsid w:val="00A730A0"/>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012E"/>
    <w:rsid w:val="00B31ABC"/>
    <w:rsid w:val="00B445ED"/>
    <w:rsid w:val="00B6300F"/>
    <w:rsid w:val="00B70389"/>
    <w:rsid w:val="00B84623"/>
    <w:rsid w:val="00BA494B"/>
    <w:rsid w:val="00BA51EF"/>
    <w:rsid w:val="00BB0479"/>
    <w:rsid w:val="00BB66D5"/>
    <w:rsid w:val="00BC7E6E"/>
    <w:rsid w:val="00BD6E75"/>
    <w:rsid w:val="00BE1D1F"/>
    <w:rsid w:val="00BE1E91"/>
    <w:rsid w:val="00BE256D"/>
    <w:rsid w:val="00BE3060"/>
    <w:rsid w:val="00BE5E66"/>
    <w:rsid w:val="00BE6BBA"/>
    <w:rsid w:val="00C00281"/>
    <w:rsid w:val="00C0562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D7EAD"/>
    <w:rsid w:val="00CF5E71"/>
    <w:rsid w:val="00CF7FAC"/>
    <w:rsid w:val="00D160C1"/>
    <w:rsid w:val="00D17794"/>
    <w:rsid w:val="00D22398"/>
    <w:rsid w:val="00D318B0"/>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5028"/>
    <w:rsid w:val="00E00E44"/>
    <w:rsid w:val="00E01E9D"/>
    <w:rsid w:val="00E049A8"/>
    <w:rsid w:val="00E12ECB"/>
    <w:rsid w:val="00E1451F"/>
    <w:rsid w:val="00E15A72"/>
    <w:rsid w:val="00E15E28"/>
    <w:rsid w:val="00E16577"/>
    <w:rsid w:val="00E36051"/>
    <w:rsid w:val="00E50D6C"/>
    <w:rsid w:val="00E544FA"/>
    <w:rsid w:val="00E55E83"/>
    <w:rsid w:val="00E5792E"/>
    <w:rsid w:val="00E6077C"/>
    <w:rsid w:val="00E64E79"/>
    <w:rsid w:val="00E6618E"/>
    <w:rsid w:val="00E77436"/>
    <w:rsid w:val="00E811F3"/>
    <w:rsid w:val="00E82C8E"/>
    <w:rsid w:val="00E87CFA"/>
    <w:rsid w:val="00E93D77"/>
    <w:rsid w:val="00E95264"/>
    <w:rsid w:val="00EA2172"/>
    <w:rsid w:val="00EA2DC1"/>
    <w:rsid w:val="00EC5571"/>
    <w:rsid w:val="00ED0E8F"/>
    <w:rsid w:val="00EE1504"/>
    <w:rsid w:val="00EE349F"/>
    <w:rsid w:val="00EE3B5B"/>
    <w:rsid w:val="00EE4CC9"/>
    <w:rsid w:val="00EF0D97"/>
    <w:rsid w:val="00EF4800"/>
    <w:rsid w:val="00EF674A"/>
    <w:rsid w:val="00F00A3D"/>
    <w:rsid w:val="00F17CA4"/>
    <w:rsid w:val="00F20B7B"/>
    <w:rsid w:val="00F24DDD"/>
    <w:rsid w:val="00F2770B"/>
    <w:rsid w:val="00F549A3"/>
    <w:rsid w:val="00F55CBF"/>
    <w:rsid w:val="00F72B10"/>
    <w:rsid w:val="00F77359"/>
    <w:rsid w:val="00F86A73"/>
    <w:rsid w:val="00F9587E"/>
    <w:rsid w:val="00FA58DA"/>
    <w:rsid w:val="00FC345B"/>
    <w:rsid w:val="00FD4E37"/>
    <w:rsid w:val="00FE2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535A04"/>
    <w:pPr>
      <w:numPr>
        <w:numId w:val="19"/>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535A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35A04"/>
    <w:rPr>
      <w:rFonts w:ascii="Arial" w:hAnsi="Arial"/>
      <w:b/>
      <w:szCs w:val="24"/>
      <w:lang w:val="x-none" w:eastAsia="x-none"/>
    </w:rPr>
  </w:style>
  <w:style w:type="paragraph" w:customStyle="1" w:styleId="Normal4">
    <w:name w:val="Normal4"/>
    <w:rsid w:val="00422F19"/>
    <w:pPr>
      <w:jc w:val="both"/>
    </w:pPr>
    <w:rPr>
      <w:rFonts w:ascii="Calibri" w:eastAsia="SimSun"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94309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3455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0505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e/Docs/R2-2207122.zip" TargetMode="External"/><Relationship Id="rId13" Type="http://schemas.openxmlformats.org/officeDocument/2006/relationships/hyperlink" Target="https://www.3gpp.org/ftp/TSG_RAN/WG2_RL2/TSGR2_119-e/Docs/R2-2207186.zip" TargetMode="External"/><Relationship Id="rId18" Type="http://schemas.openxmlformats.org/officeDocument/2006/relationships/hyperlink" Target="https://www.3gpp.org/ftp/TSG_RAN/WG2_RL2/TSGR2_119-e/Docs/R2-2207422.zip" TargetMode="External"/><Relationship Id="rId26" Type="http://schemas.openxmlformats.org/officeDocument/2006/relationships/hyperlink" Target="https://www.3gpp.org/ftp/TSG_RAN/WG2_RL2/TSGR2_119-e/Docs/R2-2208251.zip" TargetMode="External"/><Relationship Id="rId3" Type="http://schemas.openxmlformats.org/officeDocument/2006/relationships/settings" Target="settings.xml"/><Relationship Id="rId21" Type="http://schemas.openxmlformats.org/officeDocument/2006/relationships/hyperlink" Target="https://www.3gpp.org/ftp/TSG_RAN/WG2_RL2/TSGR2_119-e/Docs/R2-2207816.zip" TargetMode="External"/><Relationship Id="rId34" Type="http://schemas.openxmlformats.org/officeDocument/2006/relationships/footer" Target="footer1.xml"/><Relationship Id="rId7" Type="http://schemas.openxmlformats.org/officeDocument/2006/relationships/hyperlink" Target="https://www.3gpp.org/ftp/TSG_RAN/WG2_RL2/TSGR2_119-e/Docs/R2-2207121.zip" TargetMode="External"/><Relationship Id="rId12" Type="http://schemas.openxmlformats.org/officeDocument/2006/relationships/hyperlink" Target="https://www.3gpp.org/ftp/TSG_RAN/WG2_RL2/TSGR2_119-e/Docs/R2-2207185.zip" TargetMode="External"/><Relationship Id="rId17" Type="http://schemas.openxmlformats.org/officeDocument/2006/relationships/hyperlink" Target="https://www.3gpp.org/ftp/TSG_RAN/WG2_RL2/TSGR2_119-e/Docs/R2-2207421.zip" TargetMode="External"/><Relationship Id="rId25" Type="http://schemas.openxmlformats.org/officeDocument/2006/relationships/hyperlink" Target="https://www.3gpp.org/ftp/TSG_RAN/WG2_RL2/TSGR2_119-e/Docs/R2-2208242.zip" TargetMode="External"/><Relationship Id="rId33" Type="http://schemas.openxmlformats.org/officeDocument/2006/relationships/hyperlink" Target="https://www.3gpp.org/ftp/TSG_RAN/WG2_RL2/TSGR2_119-e/Docs/R2-2208523.zip" TargetMode="External"/><Relationship Id="rId2" Type="http://schemas.openxmlformats.org/officeDocument/2006/relationships/styles" Target="styles.xml"/><Relationship Id="rId16" Type="http://schemas.openxmlformats.org/officeDocument/2006/relationships/hyperlink" Target="https://www.3gpp.org/ftp/TSG_RAN/WG2_RL2/TSGR2_119-e/Docs/R2-2207284.zip" TargetMode="External"/><Relationship Id="rId20" Type="http://schemas.openxmlformats.org/officeDocument/2006/relationships/hyperlink" Target="https://www.3gpp.org/ftp/TSG_RAN/WG2_RL2/TSGR2_119-e/Docs/R2-2207709.zip" TargetMode="External"/><Relationship Id="rId29" Type="http://schemas.openxmlformats.org/officeDocument/2006/relationships/hyperlink" Target="https://www.3gpp.org/ftp/TSG_RAN/WG2_RL2/TSGR2_119-e/Docs/R2-220829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9-e/Docs/R2-2207129.zip" TargetMode="External"/><Relationship Id="rId24" Type="http://schemas.openxmlformats.org/officeDocument/2006/relationships/hyperlink" Target="https://www.3gpp.org/ftp/TSG_RAN/WG2_RL2/TSGR2_119-e/Docs/R2-2208104.zip" TargetMode="External"/><Relationship Id="rId32" Type="http://schemas.openxmlformats.org/officeDocument/2006/relationships/hyperlink" Target="https://www.3gpp.org/ftp/TSG_RAN/WG2_RL2/TSGR2_119-e/Docs/R2-2208514.zip" TargetMode="External"/><Relationship Id="rId5" Type="http://schemas.openxmlformats.org/officeDocument/2006/relationships/footnotes" Target="footnotes.xml"/><Relationship Id="rId15" Type="http://schemas.openxmlformats.org/officeDocument/2006/relationships/hyperlink" Target="https://www.3gpp.org/ftp/TSG_RAN/WG2_RL2/TSGR2_119-e/Docs/R2-2207283.zip" TargetMode="External"/><Relationship Id="rId23" Type="http://schemas.openxmlformats.org/officeDocument/2006/relationships/hyperlink" Target="https://www.3gpp.org/ftp/TSG_RAN/WG2_RL2/TSGR2_119-e/Docs/R2-2208103.zip" TargetMode="External"/><Relationship Id="rId28" Type="http://schemas.openxmlformats.org/officeDocument/2006/relationships/hyperlink" Target="https://www.3gpp.org/ftp/TSG_RAN/WG2_RL2/TSGR2_119-e/Docs/R2-2208268.zip" TargetMode="External"/><Relationship Id="rId36" Type="http://schemas.openxmlformats.org/officeDocument/2006/relationships/theme" Target="theme/theme1.xml"/><Relationship Id="rId10" Type="http://schemas.openxmlformats.org/officeDocument/2006/relationships/hyperlink" Target="https://www.3gpp.org/ftp/TSG_RAN/WG2_RL2/TSGR2_119-e/Docs/R2-2207128.zip" TargetMode="External"/><Relationship Id="rId19" Type="http://schemas.openxmlformats.org/officeDocument/2006/relationships/hyperlink" Target="https://www.3gpp.org/ftp/TSG_RAN/WG2_RL2/TSGR2_119-e/Docs/R2-2207627.zip" TargetMode="External"/><Relationship Id="rId31" Type="http://schemas.openxmlformats.org/officeDocument/2006/relationships/hyperlink" Target="https://www.3gpp.org/ftp/TSG_RAN/WG2_RL2/TSGR2_119-e/Docs/R2-2208459.zip" TargetMode="External"/><Relationship Id="rId4" Type="http://schemas.openxmlformats.org/officeDocument/2006/relationships/webSettings" Target="webSettings.xml"/><Relationship Id="rId9" Type="http://schemas.openxmlformats.org/officeDocument/2006/relationships/hyperlink" Target="https://www.3gpp.org/ftp/TSG_RAN/WG2_RL2/TSGR2_119-e/Docs/R2-2207124.zip" TargetMode="External"/><Relationship Id="rId14" Type="http://schemas.openxmlformats.org/officeDocument/2006/relationships/hyperlink" Target="https://www.3gpp.org/ftp/TSG_RAN/WG2_RL2/TSGR2_119-e/Docs/R2-2207282.zip" TargetMode="External"/><Relationship Id="rId22" Type="http://schemas.openxmlformats.org/officeDocument/2006/relationships/hyperlink" Target="https://www.3gpp.org/ftp/TSG_RAN/WG2_RL2/TSGR2_119-e/Docs/R2-2207827.zip" TargetMode="External"/><Relationship Id="rId27" Type="http://schemas.openxmlformats.org/officeDocument/2006/relationships/hyperlink" Target="https://www.3gpp.org/ftp/TSG_RAN/WG2_RL2/TSGR2_119-e/Docs/R2-2208267.zip" TargetMode="External"/><Relationship Id="rId30" Type="http://schemas.openxmlformats.org/officeDocument/2006/relationships/hyperlink" Target="https://www.3gpp.org/ftp/TSG_RAN/WG2_RL2/TSGR2_119-e/Docs/R2-2208292.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2908</Words>
  <Characters>16579</Characters>
  <Application>Microsoft Office Word</Application>
  <DocSecurity>0</DocSecurity>
  <Lines>138</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19449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4</cp:revision>
  <dcterms:created xsi:type="dcterms:W3CDTF">2022-09-02T13:26:00Z</dcterms:created>
  <dcterms:modified xsi:type="dcterms:W3CDTF">2022-09-02T18:00:00Z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